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7079"/>
      </w:tblGrid>
      <w:tr w:rsidR="00E117C2" w:rsidRPr="00E117C2" w:rsidTr="00E117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17C2" w:rsidRPr="00E117C2" w:rsidRDefault="00E117C2" w:rsidP="00E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3270" cy="874395"/>
                  <wp:effectExtent l="0" t="0" r="0" b="1905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4"/>
            </w:tblGrid>
            <w:tr w:rsidR="00E117C2" w:rsidRPr="00E117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7C2" w:rsidRPr="00E117C2" w:rsidRDefault="00E117C2" w:rsidP="00363A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E117C2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E117C2" w:rsidRPr="00E117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7C2" w:rsidRPr="00E117C2" w:rsidRDefault="00E117C2" w:rsidP="00363A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E117C2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E117C2" w:rsidRPr="00E117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7C2" w:rsidRPr="00E117C2" w:rsidRDefault="00E117C2" w:rsidP="00363A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E117C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105. schůze rady města</w:t>
                  </w:r>
                </w:p>
              </w:tc>
            </w:tr>
            <w:tr w:rsidR="00E117C2" w:rsidRPr="00E117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7C2" w:rsidRPr="00E117C2" w:rsidRDefault="00E117C2" w:rsidP="00363A0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E117C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r w:rsidR="00476CE9" w:rsidRPr="00E117C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27. 11. 2017</w:t>
                  </w:r>
                </w:p>
              </w:tc>
            </w:tr>
            <w:tr w:rsidR="00E117C2" w:rsidRPr="00E117C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17C2" w:rsidRPr="00E117C2" w:rsidRDefault="00E117C2" w:rsidP="00363A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E11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2301/105/RM/2017/Veřejný</w:t>
                  </w:r>
                </w:p>
              </w:tc>
            </w:tr>
          </w:tbl>
          <w:p w:rsidR="00E117C2" w:rsidRPr="00E117C2" w:rsidRDefault="00E117C2" w:rsidP="00E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E117C2" w:rsidRPr="00E117C2" w:rsidTr="00E117C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17C2" w:rsidRPr="00E117C2" w:rsidRDefault="000359D2" w:rsidP="00E1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E117C2" w:rsidRDefault="000359D2" w:rsidP="00E1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</w:t>
      </w:r>
      <w:r w:rsidR="00E117C2" w:rsidRPr="00E11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ozpočtov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á</w:t>
      </w:r>
      <w:r w:rsidR="00E117C2" w:rsidRPr="00E117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opatření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č. 88-93 schvalovaná radou města Slavkov u Brna</w:t>
      </w:r>
    </w:p>
    <w:p w:rsidR="00476CE9" w:rsidRPr="00E117C2" w:rsidRDefault="00476CE9" w:rsidP="00E1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 xml:space="preserve">Rozpočtové opatření č. 88 - Dotace MV ČR - ÚND JSDH </w:t>
      </w:r>
    </w:p>
    <w:p w:rsidR="00E117C2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Na bankovní účet města byla zaslána účelová neinvestiční dotace z kapitoly Ministerstva vnitra ČR v celkové výši 3 524 Kč na výdaj jednotek sboru dobrovolných hasičů obce na rok 2017. Dotace je vedena pod účelovým znakem 14004 a bude napojena ve výši 1 700 Kč na refundaci mezd  JSDH a ve výši 1 900 Kč na položku JSDH pohonné hmoty.</w:t>
      </w:r>
    </w:p>
    <w:p w:rsidR="00476CE9" w:rsidRPr="00476CE9" w:rsidRDefault="00476CE9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>Rozpočtové opatření č. 89 -  Dotace MŠMT - MAP</w:t>
      </w:r>
    </w:p>
    <w:p w:rsidR="00E117C2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Na bankovní účet města byla uvolněna neinvestiční dotace z kapitoly MŠMT v rámci OP VVV ve výši 363 564,05 Kč. Dotace je vedena pod účelovým znakem 33063 a ve stejné výši bude napojena na výdajovou položku - OVV - MAP - osobní náklady.</w:t>
      </w:r>
    </w:p>
    <w:p w:rsidR="00476CE9" w:rsidRPr="00476CE9" w:rsidRDefault="00476CE9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>Rozpočtové opatření č. 90 -  MěP - Dotace ÚP  - asistent MěP</w:t>
      </w:r>
    </w:p>
    <w:p w:rsidR="00E117C2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Na bankovní účet města byly uvolněny finanční prostředky z ÚP na náklady asistenta MěP  ve výši 96 000 Kč. Dotace je vedena pod účelovým znakem 13013 a ve stejné výši bude napojena na položku MěP - osobní náklady - asistent MěP.</w:t>
      </w:r>
    </w:p>
    <w:p w:rsidR="00476CE9" w:rsidRPr="00476CE9" w:rsidRDefault="00476CE9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>Rozpočtové opatření č. 91 - Změny rozpočtu  oddělení investic a rozvoje</w:t>
      </w:r>
    </w:p>
    <w:p w:rsidR="00E117C2" w:rsidRPr="00476CE9" w:rsidRDefault="00476CE9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>
        <w:rPr>
          <w:rFonts w:asciiTheme="majorHAnsi" w:eastAsia="Times New Roman" w:hAnsiTheme="majorHAnsi" w:cs="Times New Roman"/>
          <w:sz w:val="18"/>
          <w:szCs w:val="18"/>
          <w:lang w:eastAsia="cs-CZ"/>
        </w:rPr>
        <w:t>Oddělení IR žádá:</w:t>
      </w:r>
    </w:p>
    <w:p w:rsidR="00E117C2" w:rsidRPr="00476CE9" w:rsidRDefault="00E117C2" w:rsidP="00E11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 xml:space="preserve">O navýšení rozpočtové položky na výkup pozemků o 500.000,- Kč. Dle znaleckého posudku č. 3714-169-2017 je oceněn spoluvlastnický podíl k pozemku parc. č. 3725/1 částkou 503.077,50 Kč. Zastupitelstvo města dne </w:t>
      </w:r>
      <w:r w:rsidR="00476CE9"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13. 11. 2017</w:t>
      </w: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 xml:space="preserve"> schválilo výkup předmětných podílů.  V současné době máme nedostatečnou částku, a proto ji potřebujeme navýšit. Spoluvlastnický podíl má město Slavkov u Brna zájem vlastnit v souladu s veřejným zájmem. Žádáme tedy o převedení peněz z rozpočtové položky IR - Zámecká zeď a valy.</w:t>
      </w:r>
    </w:p>
    <w:p w:rsidR="00E117C2" w:rsidRPr="00476CE9" w:rsidRDefault="00E117C2" w:rsidP="00E11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V návaznosti na přesuny finančních prostředků v rámci rozpočtových opatření týkajících se odboru IR vznikl požadavek na převod částky ve výši 400.000,- Kč snížením položky IR - Zámecká zeď a valy na položku IR - Parkování ulice Tyršova souv. s přístavbou ZŠ Tyršova ve stejné výši 400.000,- Kč.</w:t>
      </w:r>
    </w:p>
    <w:p w:rsidR="00E117C2" w:rsidRPr="00476CE9" w:rsidRDefault="00E117C2" w:rsidP="00E11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Z důvodů navýšení položky IR - ostatní činnost místní správy navrhujeme do této položky převést finanční zdroje z položky IR - ZŠ Komenského - likvidace dešťové vody ve výši 300tis Kč. Vzhledem k tomu, že v rámci výběrového řízení se nikdo o tuto zakázku neucházel, nebude tato akce realizována v tomto roce. Naopak v položce ostatní činnost místní správy jsou zdroje ve výši 429tis Kč a očekáváme platbu za likvidaci ekologické havárie u provozovny společnosti PILOUS ve výši 500tis Kč. Dále je v plánu z této položky provést například nákup fotbalových branek na hřiště s umělým povrchem v sídlišti Nádražní v ceně cca 70tis Kč.</w:t>
      </w:r>
    </w:p>
    <w:p w:rsidR="00E117C2" w:rsidRPr="00476CE9" w:rsidRDefault="00E117C2" w:rsidP="00E117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Navýšení položky IR - stadion (UR 19 300 000 Kč) -  navrhujeme do této položky převést finanční zdroje z položky IR - Nutné opravy budov a staveb ve výši 300 tis.</w:t>
      </w: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 xml:space="preserve"> </w:t>
      </w: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Kč, zde je nutné zaplatit dokončení rekonstrukce a zajištění autorského dozoru (uzavřené smlouvy na cca 2.8 mil. Kč).  </w:t>
      </w:r>
    </w:p>
    <w:p w:rsidR="00E117C2" w:rsidRDefault="00E117C2" w:rsidP="00E117C2">
      <w:pPr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Navýšení položky IR - Stadion - sadové úpravy (UR 500 000 Kč) -  navrhujeme do této položky převést finanční zdroje z položky IR - Oprava břehu Velkého rybníka ve výši 101 tis. Kč, z které již v letošním roce nebude nic čerpáno. Z  této položky IR  je nutné zaplatit výsadbu keřů (uzavřená smlouva o dílo na cca 590 328,75 Kč).</w:t>
      </w:r>
    </w:p>
    <w:p w:rsidR="00476CE9" w:rsidRPr="00476CE9" w:rsidRDefault="00476CE9" w:rsidP="001721CD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>Rozpočtové opatření č. 92 - Dotace MZe - výsadba melioračních a zpevňujících dřevin</w:t>
      </w:r>
    </w:p>
    <w:p w:rsidR="00E117C2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Z Ministerstva zemědělství ČR město Slavkov u Brna  obdrželo neinvestiční dotaci ve výši 29 700 Kč na úhradu zvýšených nákladů na výsadbu melioračních a zpevňujících dřevin. Dotace je vedena pod ÚZ 29004 a ve stejné výši bude napojena na výdajovou položku rozpočtu ŽP - Výsadby zpevňujících dřevin - nákup ostatních služeb.</w:t>
      </w:r>
    </w:p>
    <w:p w:rsidR="00363A08" w:rsidRPr="00476CE9" w:rsidRDefault="00363A08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E117C2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>Rozpočtové opatření č. 93 - Dotace IROP "Elektronické a moderní služby města Slavkov u Brna"</w:t>
      </w:r>
    </w:p>
    <w:p w:rsidR="00E117C2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Na bankovní účet města Slavkov u Brna byly poskytnuty finanční prostředky ve výši  6 957,50 Kč ze státního rozpočtu a ve výši 118 277,50 Kč z rozpočtu EU. Dotace je vedena pod ÚZ 17016 a ve stejné výši bude zapojena na výdajovou položku rozpočtu MěÚ - Školení SW.</w:t>
      </w:r>
    </w:p>
    <w:p w:rsidR="00476CE9" w:rsidRDefault="00476CE9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476CE9" w:rsidRDefault="00476CE9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476CE9" w:rsidRPr="00476CE9" w:rsidRDefault="00476CE9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lastRenderedPageBreak/>
        <w:t>I. Rada města schvaluje</w:t>
      </w: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b/>
          <w:bCs/>
          <w:sz w:val="18"/>
          <w:szCs w:val="18"/>
          <w:lang w:eastAsia="cs-CZ"/>
        </w:rPr>
        <w:t>a provádí v souladu s usnesením č. 227/14/ZM/2016 soubor rozpočtových opatření v předloženém znění takto:</w:t>
      </w: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380"/>
        <w:gridCol w:w="456"/>
        <w:gridCol w:w="473"/>
        <w:gridCol w:w="473"/>
        <w:gridCol w:w="673"/>
        <w:gridCol w:w="573"/>
        <w:gridCol w:w="3779"/>
        <w:gridCol w:w="990"/>
        <w:gridCol w:w="1035"/>
      </w:tblGrid>
      <w:tr w:rsidR="00E117C2" w:rsidRPr="00476CE9" w:rsidTr="00476CE9">
        <w:trPr>
          <w:tblCellSpacing w:w="7" w:type="dxa"/>
        </w:trPr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RO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Odd.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b/>
                <w:bCs/>
                <w:sz w:val="18"/>
                <w:szCs w:val="18"/>
                <w:lang w:eastAsia="cs-CZ"/>
              </w:rPr>
              <w:t>Výdaje (Kč)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14004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FO- JSDH - Dotace ÚN MV ČR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3 600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5019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14004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FO -JSDH  - Refundace mezd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1 700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5156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14004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FO - JSDH - PHM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1 900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OVV- MAP - Dotace MŠ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363 600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OVV- MAP - Osobní náklady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363 600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13013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MěP - Dotace ÚP  - Asistent MěP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96 000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5311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13013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MěP - Navýšení pol. - osobní náklady - asistent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96 000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546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Snížení pol.  - zámecká zeď a valy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-900 000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Navýšení pol. - výkup pozemků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500 000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2219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140531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Navýšení pol. - parkování ul. Tyršova souv. s přístavbou ZŠ Tyršova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400 000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14066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 Převedení pol.  - ZŠ Kom. - likvidace dešť. vody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-300 000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517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Navýšení pol. - Ostatní činnost místní správy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300 000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537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Snížení položky - Nutné opravy budov a staveb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-300 000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3412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536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Navýšení pol.  - Stadion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300 000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2341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548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Snížení pol.  - Oprava břehu Vel. rybníka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-101 000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3412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536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IR - Navýšení pol.  - Stadion - sadové úpravy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101 000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29004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ŽP - Dotace MZe ÚN  - výsadba zpevňujících dřevin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    29 700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1037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29004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ŽP - Navýšení pol. - výsadba zpevňujících dřevin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29 700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93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17015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MěÚ - Dotace ÚN  SR - IROP - "Elektr. a moder. Služby"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7 000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4153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17016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MěÚ - Dotace ÚN  EU - IROP - "Elektr. a moder. Služby"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118 300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</w:tr>
      <w:tr w:rsidR="00E117C2" w:rsidRPr="00476CE9" w:rsidTr="00476CE9">
        <w:trPr>
          <w:tblCellSpacing w:w="7" w:type="dxa"/>
        </w:trPr>
        <w:tc>
          <w:tcPr>
            <w:tcW w:w="1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80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5167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51672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MěÚ - Navýšení pol. - školení SW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7C2" w:rsidRPr="00476CE9" w:rsidRDefault="00E117C2" w:rsidP="00E117C2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</w:pPr>
            <w:r w:rsidRPr="00476CE9">
              <w:rPr>
                <w:rFonts w:asciiTheme="majorHAnsi" w:eastAsia="Times New Roman" w:hAnsiTheme="majorHAnsi" w:cs="Times New Roman"/>
                <w:sz w:val="18"/>
                <w:szCs w:val="18"/>
                <w:lang w:eastAsia="cs-CZ"/>
              </w:rPr>
              <w:t>125 300</w:t>
            </w:r>
          </w:p>
        </w:tc>
      </w:tr>
    </w:tbl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  <w:r w:rsidRPr="00476CE9">
        <w:rPr>
          <w:rFonts w:asciiTheme="majorHAnsi" w:eastAsia="Times New Roman" w:hAnsiTheme="majorHAnsi" w:cs="Times New Roman"/>
          <w:sz w:val="18"/>
          <w:szCs w:val="18"/>
          <w:lang w:eastAsia="cs-CZ"/>
        </w:rPr>
        <w:t> </w:t>
      </w: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vanish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0" w:line="240" w:lineRule="auto"/>
        <w:jc w:val="both"/>
        <w:rPr>
          <w:rFonts w:asciiTheme="majorHAnsi" w:eastAsia="Times New Roman" w:hAnsiTheme="majorHAnsi" w:cs="Times New Roman"/>
          <w:vanish/>
          <w:sz w:val="18"/>
          <w:szCs w:val="18"/>
          <w:lang w:eastAsia="cs-CZ"/>
        </w:rPr>
      </w:pPr>
    </w:p>
    <w:p w:rsidR="00E117C2" w:rsidRPr="00476CE9" w:rsidRDefault="00E117C2" w:rsidP="00E117C2">
      <w:pPr>
        <w:spacing w:after="240" w:line="240" w:lineRule="auto"/>
        <w:jc w:val="both"/>
        <w:rPr>
          <w:rFonts w:asciiTheme="majorHAnsi" w:eastAsia="Times New Roman" w:hAnsiTheme="majorHAnsi" w:cs="Times New Roman"/>
          <w:sz w:val="18"/>
          <w:szCs w:val="18"/>
          <w:lang w:eastAsia="cs-CZ"/>
        </w:rPr>
      </w:pPr>
    </w:p>
    <w:p w:rsidR="00825601" w:rsidRPr="00363A08" w:rsidRDefault="001721CD">
      <w:pPr>
        <w:rPr>
          <w:sz w:val="16"/>
          <w:szCs w:val="16"/>
        </w:rPr>
      </w:pPr>
      <w:r w:rsidRPr="00363A08">
        <w:rPr>
          <w:sz w:val="16"/>
          <w:szCs w:val="16"/>
        </w:rPr>
        <w:t>Zveřejněno dne 28.</w:t>
      </w:r>
      <w:r w:rsidR="00363A08">
        <w:rPr>
          <w:sz w:val="16"/>
          <w:szCs w:val="16"/>
        </w:rPr>
        <w:t xml:space="preserve"> </w:t>
      </w:r>
      <w:r w:rsidRPr="00363A08">
        <w:rPr>
          <w:sz w:val="16"/>
          <w:szCs w:val="16"/>
        </w:rPr>
        <w:t>11.</w:t>
      </w:r>
      <w:r w:rsidR="00363A08">
        <w:rPr>
          <w:sz w:val="16"/>
          <w:szCs w:val="16"/>
        </w:rPr>
        <w:t xml:space="preserve"> </w:t>
      </w:r>
      <w:r w:rsidRPr="00363A08">
        <w:rPr>
          <w:sz w:val="16"/>
          <w:szCs w:val="16"/>
        </w:rPr>
        <w:t>2017</w:t>
      </w:r>
    </w:p>
    <w:sectPr w:rsidR="00825601" w:rsidRPr="00363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732C"/>
    <w:multiLevelType w:val="multilevel"/>
    <w:tmpl w:val="81D43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C2"/>
    <w:rsid w:val="000359D2"/>
    <w:rsid w:val="001721CD"/>
    <w:rsid w:val="00363A08"/>
    <w:rsid w:val="00476CE9"/>
    <w:rsid w:val="00825601"/>
    <w:rsid w:val="00E1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17C2"/>
    <w:rPr>
      <w:b/>
      <w:bCs/>
    </w:rPr>
  </w:style>
  <w:style w:type="character" w:customStyle="1" w:styleId="stavhlasovani1">
    <w:name w:val="stavhlasovani1"/>
    <w:basedOn w:val="Standardnpsmoodstavce"/>
    <w:rsid w:val="00E117C2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11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17C2"/>
    <w:rPr>
      <w:b/>
      <w:bCs/>
    </w:rPr>
  </w:style>
  <w:style w:type="character" w:customStyle="1" w:styleId="stavhlasovani1">
    <w:name w:val="stavhlasovani1"/>
    <w:basedOn w:val="Standardnpsmoodstavce"/>
    <w:rsid w:val="00E117C2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135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3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46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20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30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853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2017-11-27T13:48:00Z</dcterms:created>
  <dcterms:modified xsi:type="dcterms:W3CDTF">2017-11-28T08:51:00Z</dcterms:modified>
</cp:coreProperties>
</file>