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8" w:rsidRPr="00823D14" w:rsidRDefault="00794AE6" w:rsidP="00794AE6">
      <w:pPr>
        <w:spacing w:line="276" w:lineRule="auto"/>
        <w:rPr>
          <w:sz w:val="32"/>
          <w:szCs w:val="32"/>
        </w:rPr>
      </w:pPr>
      <w:r w:rsidRPr="00823D14">
        <w:rPr>
          <w:sz w:val="32"/>
          <w:szCs w:val="32"/>
        </w:rPr>
        <w:t xml:space="preserve">ÚSC: </w:t>
      </w:r>
      <w:r w:rsidRPr="00823D14">
        <w:rPr>
          <w:sz w:val="32"/>
          <w:szCs w:val="32"/>
        </w:rPr>
        <w:tab/>
      </w:r>
      <w:r w:rsidRPr="00823D14">
        <w:rPr>
          <w:sz w:val="32"/>
          <w:szCs w:val="32"/>
        </w:rPr>
        <w:tab/>
      </w:r>
      <w:r w:rsidRPr="00823D14">
        <w:rPr>
          <w:sz w:val="32"/>
          <w:szCs w:val="32"/>
        </w:rPr>
        <w:tab/>
      </w:r>
      <w:r w:rsidRPr="00823D14">
        <w:rPr>
          <w:sz w:val="32"/>
          <w:szCs w:val="32"/>
        </w:rPr>
        <w:tab/>
      </w:r>
      <w:r w:rsidR="00F002A8" w:rsidRPr="00823D14">
        <w:rPr>
          <w:sz w:val="32"/>
          <w:szCs w:val="32"/>
        </w:rPr>
        <w:t xml:space="preserve">Slavkov u Brna </w:t>
      </w:r>
    </w:p>
    <w:p w:rsidR="00794AE6" w:rsidRDefault="00794AE6" w:rsidP="00794AE6">
      <w:pPr>
        <w:spacing w:line="276" w:lineRule="auto"/>
      </w:pPr>
    </w:p>
    <w:p w:rsidR="00794AE6" w:rsidRDefault="00794AE6" w:rsidP="00794AE6">
      <w:pPr>
        <w:spacing w:line="276" w:lineRule="auto"/>
      </w:pPr>
    </w:p>
    <w:p w:rsidR="00794AE6" w:rsidRDefault="00794AE6" w:rsidP="00794AE6">
      <w:pPr>
        <w:spacing w:line="276" w:lineRule="auto"/>
      </w:pPr>
    </w:p>
    <w:p w:rsidR="00794AE6" w:rsidRDefault="00794AE6" w:rsidP="00794AE6">
      <w:pPr>
        <w:spacing w:line="276" w:lineRule="auto"/>
      </w:pPr>
    </w:p>
    <w:p w:rsidR="00794AE6" w:rsidRDefault="00794AE6" w:rsidP="00794AE6">
      <w:pPr>
        <w:spacing w:line="276" w:lineRule="auto"/>
      </w:pPr>
    </w:p>
    <w:p w:rsidR="00794AE6" w:rsidRPr="00823D14" w:rsidRDefault="00794AE6" w:rsidP="00794AE6">
      <w:pPr>
        <w:spacing w:line="276" w:lineRule="auto"/>
        <w:rPr>
          <w:sz w:val="32"/>
          <w:szCs w:val="32"/>
        </w:rPr>
      </w:pPr>
      <w:r w:rsidRPr="00823D14">
        <w:rPr>
          <w:sz w:val="32"/>
          <w:szCs w:val="32"/>
        </w:rPr>
        <w:t>Rozpočtový rok:</w:t>
      </w:r>
      <w:r w:rsidRPr="00823D14">
        <w:rPr>
          <w:sz w:val="32"/>
          <w:szCs w:val="32"/>
        </w:rPr>
        <w:tab/>
      </w:r>
      <w:r w:rsidRPr="00823D14">
        <w:rPr>
          <w:sz w:val="32"/>
          <w:szCs w:val="32"/>
        </w:rPr>
        <w:tab/>
      </w:r>
      <w:r w:rsidRPr="00823D14">
        <w:rPr>
          <w:sz w:val="32"/>
          <w:szCs w:val="32"/>
        </w:rPr>
        <w:tab/>
        <w:t>2016</w:t>
      </w:r>
    </w:p>
    <w:p w:rsidR="00794AE6" w:rsidRDefault="00794AE6" w:rsidP="00F002A8">
      <w:pPr>
        <w:spacing w:line="276" w:lineRule="auto"/>
        <w:jc w:val="center"/>
      </w:pPr>
    </w:p>
    <w:p w:rsidR="00794AE6" w:rsidRDefault="00794AE6" w:rsidP="00F002A8">
      <w:pPr>
        <w:spacing w:line="276" w:lineRule="auto"/>
        <w:jc w:val="center"/>
      </w:pPr>
    </w:p>
    <w:p w:rsidR="00F002A8" w:rsidRPr="00823D14" w:rsidRDefault="005B5174" w:rsidP="005B5174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794AE6" w:rsidRPr="00823D14">
        <w:rPr>
          <w:sz w:val="32"/>
          <w:szCs w:val="32"/>
        </w:rPr>
        <w:t xml:space="preserve">Závěrečný účet města </w:t>
      </w:r>
      <w:r w:rsidR="00EA4038" w:rsidRPr="00823D14">
        <w:rPr>
          <w:sz w:val="32"/>
          <w:szCs w:val="32"/>
        </w:rPr>
        <w:t>Slavkov u Brna</w:t>
      </w:r>
    </w:p>
    <w:p w:rsidR="00794AE6" w:rsidRDefault="00794AE6" w:rsidP="00171AE7">
      <w:pPr>
        <w:spacing w:line="276" w:lineRule="auto"/>
      </w:pPr>
    </w:p>
    <w:p w:rsidR="00794AE6" w:rsidRDefault="00794AE6" w:rsidP="00171AE7">
      <w:pPr>
        <w:spacing w:line="276" w:lineRule="auto"/>
      </w:pPr>
    </w:p>
    <w:p w:rsidR="00794AE6" w:rsidRDefault="00794AE6" w:rsidP="00794AE6">
      <w:pPr>
        <w:pStyle w:val="Odstavecseseznamem"/>
        <w:numPr>
          <w:ilvl w:val="0"/>
          <w:numId w:val="9"/>
        </w:numPr>
        <w:spacing w:line="276" w:lineRule="auto"/>
        <w:rPr>
          <w:b w:val="0"/>
        </w:rPr>
      </w:pPr>
      <w:r w:rsidRPr="00794AE6">
        <w:rPr>
          <w:b w:val="0"/>
        </w:rPr>
        <w:t>Plnění</w:t>
      </w:r>
      <w:r>
        <w:rPr>
          <w:b w:val="0"/>
        </w:rPr>
        <w:t xml:space="preserve"> rozpočtu příjmů a výdajů</w:t>
      </w:r>
    </w:p>
    <w:p w:rsidR="00794AE6" w:rsidRDefault="00794AE6" w:rsidP="00794AE6">
      <w:pPr>
        <w:pStyle w:val="Odstavecseseznamem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Hospodaření s majetkem města a další finanční operace</w:t>
      </w:r>
    </w:p>
    <w:p w:rsidR="00794AE6" w:rsidRDefault="00794AE6" w:rsidP="00794AE6">
      <w:pPr>
        <w:pStyle w:val="Odstavecseseznamem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Tvorba a použití fondů</w:t>
      </w:r>
    </w:p>
    <w:p w:rsidR="00794AE6" w:rsidRDefault="00794AE6" w:rsidP="00794AE6">
      <w:pPr>
        <w:pStyle w:val="Odstavecseseznamem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Vyúčtování finančních vztahů ke státnímu rozpočtu a ostatním rozpočtům veřejné úrovně</w:t>
      </w:r>
    </w:p>
    <w:p w:rsidR="00794AE6" w:rsidRDefault="00794AE6" w:rsidP="00794AE6">
      <w:pPr>
        <w:pStyle w:val="Odstavecseseznamem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Hospodářská činnost města</w:t>
      </w:r>
    </w:p>
    <w:p w:rsidR="00794AE6" w:rsidRDefault="00794AE6" w:rsidP="00794AE6">
      <w:pPr>
        <w:pStyle w:val="Odstavecseseznamem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Hospodaření příspěvkových organizací zřízených městem</w:t>
      </w:r>
    </w:p>
    <w:p w:rsidR="00794AE6" w:rsidRDefault="00794AE6" w:rsidP="00794AE6">
      <w:pPr>
        <w:pStyle w:val="Odstavecseseznamem"/>
        <w:numPr>
          <w:ilvl w:val="0"/>
          <w:numId w:val="9"/>
        </w:numPr>
        <w:spacing w:line="276" w:lineRule="auto"/>
        <w:rPr>
          <w:b w:val="0"/>
        </w:rPr>
      </w:pPr>
      <w:r>
        <w:rPr>
          <w:b w:val="0"/>
        </w:rPr>
        <w:t>Zpráva o výsledku přezkoumání hospodaření</w:t>
      </w: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Připomínky k návrhu závěrečného účtu mohou občané města Slavkov u Brna uplatnit písemně do zasedání zastupitelstva města Slavkov u Brna nebo ústně na zasedání zastupitelstva města Slavkov u Brna.</w:t>
      </w: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Veškeré podkladové materiály jsou k nahlédnutí na finančním odboru města Slavkov u Brna</w:t>
      </w: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94AE6" w:rsidRPr="00794AE6" w:rsidRDefault="00794AE6" w:rsidP="00794AE6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Zveřejněno: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Sňato:</w:t>
      </w:r>
    </w:p>
    <w:p w:rsidR="00794AE6" w:rsidRDefault="00794AE6" w:rsidP="00171AE7">
      <w:pPr>
        <w:spacing w:line="276" w:lineRule="auto"/>
      </w:pPr>
    </w:p>
    <w:p w:rsidR="00794AE6" w:rsidRDefault="00794AE6" w:rsidP="00171AE7">
      <w:pPr>
        <w:spacing w:line="276" w:lineRule="auto"/>
      </w:pPr>
    </w:p>
    <w:p w:rsidR="00794AE6" w:rsidRDefault="00794AE6" w:rsidP="00171AE7">
      <w:pPr>
        <w:spacing w:line="276" w:lineRule="auto"/>
      </w:pPr>
    </w:p>
    <w:p w:rsidR="00794AE6" w:rsidRDefault="00794AE6" w:rsidP="00171AE7">
      <w:pPr>
        <w:spacing w:line="276" w:lineRule="auto"/>
      </w:pPr>
    </w:p>
    <w:p w:rsidR="00EC16CB" w:rsidRDefault="00EC16CB" w:rsidP="00171AE7">
      <w:pPr>
        <w:spacing w:line="276" w:lineRule="auto"/>
      </w:pPr>
    </w:p>
    <w:p w:rsidR="00FA6520" w:rsidRDefault="00FA6520" w:rsidP="00171AE7">
      <w:pPr>
        <w:spacing w:line="276" w:lineRule="auto"/>
      </w:pPr>
    </w:p>
    <w:p w:rsidR="00794AE6" w:rsidRDefault="007E24C7" w:rsidP="007E24C7">
      <w:pPr>
        <w:pStyle w:val="Odstavecseseznamem"/>
        <w:numPr>
          <w:ilvl w:val="0"/>
          <w:numId w:val="10"/>
        </w:numPr>
        <w:spacing w:line="276" w:lineRule="auto"/>
      </w:pPr>
      <w:r>
        <w:lastRenderedPageBreak/>
        <w:t>Plnění rozpočtu příjmů a výdajů</w:t>
      </w:r>
    </w:p>
    <w:p w:rsidR="007E24C7" w:rsidRDefault="007E24C7" w:rsidP="007E24C7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7E24C7" w:rsidRDefault="007E24C7" w:rsidP="007E24C7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Hospodaření města Slavkov u Brna za rok 2016 vykázalo kladné saldo příjmů a výdajů ve výši 35 260 849,95 Kč.</w:t>
      </w:r>
    </w:p>
    <w:p w:rsidR="007E24C7" w:rsidRDefault="007E24C7" w:rsidP="007E24C7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 xml:space="preserve">Rozpočet města Slavkov u Brna na rok 2016 byl schválen zastupitelstvem města Slavkov u Brna dne 14. 12. 2015 ve výši příjmů 102 525 800 Kč a výdajů 94 322 800 Kč. V průběhu roku se rozpočet rozpočtovými opatřeními navýšil u příjmů na 142 613 000 </w:t>
      </w:r>
      <w:r w:rsidR="00486128">
        <w:rPr>
          <w:b w:val="0"/>
        </w:rPr>
        <w:t>Kč, u výdajů</w:t>
      </w:r>
      <w:r w:rsidR="004A3F94">
        <w:rPr>
          <w:b w:val="0"/>
        </w:rPr>
        <w:t xml:space="preserve"> na 168 900 </w:t>
      </w:r>
      <w:r>
        <w:rPr>
          <w:b w:val="0"/>
        </w:rPr>
        <w:t xml:space="preserve"> </w:t>
      </w:r>
      <w:r w:rsidR="004A3F94">
        <w:rPr>
          <w:b w:val="0"/>
        </w:rPr>
        <w:t>800 Kč.</w:t>
      </w:r>
    </w:p>
    <w:p w:rsidR="004A3F94" w:rsidRDefault="004A3F94" w:rsidP="007E24C7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K</w:t>
      </w:r>
      <w:r w:rsidR="006C5A1D">
        <w:rPr>
          <w:b w:val="0"/>
        </w:rPr>
        <w:t xml:space="preserve"> datu </w:t>
      </w:r>
      <w:r>
        <w:rPr>
          <w:b w:val="0"/>
        </w:rPr>
        <w:t> </w:t>
      </w:r>
      <w:r w:rsidR="00486128">
        <w:rPr>
          <w:b w:val="0"/>
        </w:rPr>
        <w:t>31. 12. 2016</w:t>
      </w:r>
      <w:r>
        <w:rPr>
          <w:b w:val="0"/>
        </w:rPr>
        <w:t xml:space="preserve"> skutečné příjmy dosáhly výše 157 220 712,66 Kč, což je plnění na upravený rozpočet 110,</w:t>
      </w:r>
      <w:r w:rsidR="002A433B">
        <w:rPr>
          <w:b w:val="0"/>
        </w:rPr>
        <w:t>2</w:t>
      </w:r>
      <w:r w:rsidR="00F61CD8">
        <w:rPr>
          <w:b w:val="0"/>
        </w:rPr>
        <w:t xml:space="preserve"> </w:t>
      </w:r>
      <w:r>
        <w:rPr>
          <w:b w:val="0"/>
        </w:rPr>
        <w:t xml:space="preserve">%. </w:t>
      </w:r>
      <w:r w:rsidR="006B7DCE">
        <w:rPr>
          <w:b w:val="0"/>
        </w:rPr>
        <w:t xml:space="preserve"> </w:t>
      </w:r>
      <w:r>
        <w:rPr>
          <w:b w:val="0"/>
        </w:rPr>
        <w:t>Ke sledovanému datu výše výdajů činila 121 959 862,71 Kč, tj. čerpání výdajů na upravený rozpočet 72,2</w:t>
      </w:r>
      <w:r w:rsidR="00F61CD8">
        <w:rPr>
          <w:b w:val="0"/>
        </w:rPr>
        <w:t xml:space="preserve"> </w:t>
      </w:r>
      <w:r>
        <w:rPr>
          <w:b w:val="0"/>
        </w:rPr>
        <w:t>%.</w:t>
      </w:r>
    </w:p>
    <w:p w:rsidR="004A3F94" w:rsidRPr="007E24C7" w:rsidRDefault="004A3F94" w:rsidP="007E24C7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71AE7" w:rsidRDefault="00171AE7" w:rsidP="00171AE7">
      <w:pPr>
        <w:spacing w:line="276" w:lineRule="auto"/>
      </w:pPr>
      <w:r>
        <w:t>Rekapitulace hospodaření - rok 2016 - bez financování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3442915" cy="165033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15" cy="165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EC16CB" w:rsidRPr="00EC16CB" w:rsidRDefault="00EC16CB" w:rsidP="00171AE7">
      <w:pPr>
        <w:spacing w:line="276" w:lineRule="auto"/>
        <w:rPr>
          <w:b w:val="0"/>
        </w:rPr>
      </w:pPr>
    </w:p>
    <w:p w:rsidR="00171AE7" w:rsidRDefault="00171AE7" w:rsidP="00171AE7">
      <w:pPr>
        <w:spacing w:line="276" w:lineRule="auto"/>
      </w:pPr>
      <w:r>
        <w:t>Příjmy - skutečnost rok 2016 - bez financování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6009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BD1535">
      <w:pPr>
        <w:spacing w:line="240" w:lineRule="auto"/>
        <w:jc w:val="left"/>
      </w:pPr>
      <w:r>
        <w:br w:type="page"/>
      </w:r>
      <w:r>
        <w:lastRenderedPageBreak/>
        <w:t>Výdaje - skutečnost rok 2016 - bez financování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6009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Rekapitulace hospodaření - rok 2016 - bez financování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Rekapitulace hospodaření - rok 2016 - bez financování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Skutečnost - příjmy a výdaje - rok 2016 - bez financování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6CB" w:rsidRDefault="00171AE7" w:rsidP="00EC16CB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Rekapitulace hospodaření - rok 2016 - včetně financování (Skutečnost bez 8115)</w:t>
      </w:r>
    </w:p>
    <w:p w:rsidR="00171AE7" w:rsidRDefault="00171AE7" w:rsidP="00171AE7">
      <w:pPr>
        <w:spacing w:line="276" w:lineRule="auto"/>
      </w:pPr>
      <w:r>
        <w:rPr>
          <w:b w:val="0"/>
        </w:rPr>
        <w:t>V tabulce není ve sloupečku "Skutečnost" zahrnuta položka 8115 (Změna stavu na bankovních účtech). Hodnota této položky ve své podstatě vyjadřuje ve skutečnosti výsledek hospodaření v rozpočtovém roce.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4130040" cy="1969770"/>
            <wp:effectExtent l="1905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Příjmy - skutečnost rok 2016 - včetně financování (bez položky 8115)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60090"/>
            <wp:effectExtent l="1905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Výdaje - skutečnost rok 2016 - včetně financování (bez položky 8115)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60090"/>
            <wp:effectExtent l="1905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Rekapitulace hospodaření - rok 2016 - včetně financování (Skutečnost bez 8115)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Rekapitulace hospodaření - rok 2016 - včetně financování (Skutečnost bez 8115)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Skutečnost - příjmy a výdaje - rok 2016 - včetně financování (bez položky 8115)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Rekapitulace hospodaření - rok 2016 - včetně financování (Skutečnost vč. 8115)</w:t>
      </w:r>
    </w:p>
    <w:p w:rsidR="00171AE7" w:rsidRDefault="00171AE7" w:rsidP="00171AE7">
      <w:pPr>
        <w:spacing w:line="276" w:lineRule="auto"/>
      </w:pPr>
      <w:r>
        <w:rPr>
          <w:b w:val="0"/>
        </w:rPr>
        <w:t>V tabulce je zobrazena ve sloupečku "Skutečnost" položka 8115 (Změna stavu na bankovních účtech). Její hodnota odráží skutečný výsledek hospodaření v rozpočtovém roce. Záporné znaménko u této položky značí, že město hospodařilo s přebytkem (tj. nemuselo zapojit do hospodaření finanční prostředky z minulých let, naopak je navýšilo).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4130040" cy="1969770"/>
            <wp:effectExtent l="19050" t="0" r="381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Příjmy - skutečnost rok 2016 - včetně financování (vč. položky 8115)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60090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Výdaje - skutečnost rok 2016 - včetně financování (vč. položky 8115)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60090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Rekapitulace hospodaření - rok 2016 - včetně financování (Skutečnost vč. 8115)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Rekapitulace hospodaření - rok 2016 - včetně financování (Skutečnost vč. 8115)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Skutečnost - příjmy a výdaje - rok 2016 - včetně financování (vč. položky 8115)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Rekapitulace hospodaření - rok 2016 - včetně financování (Skutečnost bez 8115)</w:t>
      </w:r>
    </w:p>
    <w:p w:rsidR="00171AE7" w:rsidRDefault="00171AE7" w:rsidP="00171AE7">
      <w:pPr>
        <w:spacing w:line="276" w:lineRule="auto"/>
      </w:pPr>
      <w:r>
        <w:rPr>
          <w:b w:val="0"/>
        </w:rPr>
        <w:t>V tabulce není ve sloupečku "Skutečnost" zahrnuta položka 8115 (Změna stavu na bankovních účtech). Hodnota této položky ve své podstatě vyjadřuje ve skutečnosti výsledek hospodaření v rozpočtovém roce.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4601845" cy="2291080"/>
            <wp:effectExtent l="19050" t="0" r="825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Rekapitulace hospodaření - rok 2016 - včetně financování (Skutečnost vč. 8115)</w:t>
      </w:r>
    </w:p>
    <w:p w:rsidR="00171AE7" w:rsidRDefault="00171AE7" w:rsidP="00171AE7">
      <w:pPr>
        <w:spacing w:line="276" w:lineRule="auto"/>
      </w:pPr>
      <w:r>
        <w:rPr>
          <w:b w:val="0"/>
        </w:rPr>
        <w:t>V tabulce je zobrazena ve sloupečku "Skutečnost" položka 8115 (Změna stavu na bankovních účtech). Její hodnota odráží skutečný výsledek hospodaření v rozpočtovém roce. Záporné znaménko u této položky značí, že město hospodařilo s přebytkem (tj. nemuselo zapojit do hospodaření finanční prostředky z minulých let, naopak je navýšilo).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4601845" cy="2291080"/>
            <wp:effectExtent l="19050" t="0" r="825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900" w:rsidRDefault="00820900" w:rsidP="00820900">
      <w:pPr>
        <w:spacing w:line="240" w:lineRule="auto"/>
        <w:jc w:val="left"/>
      </w:pPr>
    </w:p>
    <w:p w:rsidR="005E2FF9" w:rsidRDefault="006B7DCE" w:rsidP="00820900">
      <w:pPr>
        <w:spacing w:line="240" w:lineRule="auto"/>
        <w:jc w:val="left"/>
      </w:pPr>
      <w:r>
        <w:t>Příjmy</w:t>
      </w:r>
    </w:p>
    <w:p w:rsidR="0092496A" w:rsidRDefault="005302D5" w:rsidP="00171AE7">
      <w:pPr>
        <w:spacing w:line="276" w:lineRule="auto"/>
        <w:rPr>
          <w:b w:val="0"/>
        </w:rPr>
      </w:pPr>
      <w:r>
        <w:t xml:space="preserve">Běžné příjmy </w:t>
      </w:r>
      <w:r w:rsidRPr="005302D5">
        <w:rPr>
          <w:b w:val="0"/>
        </w:rPr>
        <w:t>vy</w:t>
      </w:r>
      <w:r>
        <w:rPr>
          <w:b w:val="0"/>
        </w:rPr>
        <w:t xml:space="preserve">kázaly nárůst na schválený rozpočet 2016 o </w:t>
      </w:r>
      <w:r w:rsidR="00C205B4">
        <w:rPr>
          <w:b w:val="0"/>
        </w:rPr>
        <w:t>21 024</w:t>
      </w:r>
      <w:r w:rsidR="00F61CD8">
        <w:rPr>
          <w:b w:val="0"/>
        </w:rPr>
        <w:t> </w:t>
      </w:r>
      <w:r w:rsidR="00C205B4">
        <w:rPr>
          <w:b w:val="0"/>
        </w:rPr>
        <w:t>6</w:t>
      </w:r>
      <w:r w:rsidR="00F61CD8">
        <w:rPr>
          <w:b w:val="0"/>
        </w:rPr>
        <w:t>13,94</w:t>
      </w:r>
      <w:r>
        <w:rPr>
          <w:b w:val="0"/>
        </w:rPr>
        <w:t xml:space="preserve"> Kč. </w:t>
      </w:r>
      <w:r w:rsidR="00C205B4">
        <w:rPr>
          <w:b w:val="0"/>
        </w:rPr>
        <w:t xml:space="preserve">U sdílených daní </w:t>
      </w:r>
      <w:r w:rsidR="006C5A1D">
        <w:rPr>
          <w:b w:val="0"/>
        </w:rPr>
        <w:t xml:space="preserve">byl </w:t>
      </w:r>
      <w:r w:rsidR="00C205B4">
        <w:rPr>
          <w:b w:val="0"/>
        </w:rPr>
        <w:t xml:space="preserve">nejvyšší nárůst </w:t>
      </w:r>
      <w:r w:rsidR="002C4141">
        <w:rPr>
          <w:b w:val="0"/>
        </w:rPr>
        <w:t xml:space="preserve">(v procentech) </w:t>
      </w:r>
      <w:r w:rsidR="00C205B4">
        <w:rPr>
          <w:b w:val="0"/>
        </w:rPr>
        <w:t xml:space="preserve">v roce 2016 u daně z příjmů fyzických osob ze samostatné výdělečné činnosti o 851 915 Kč, </w:t>
      </w:r>
      <w:r w:rsidR="001A531F">
        <w:rPr>
          <w:b w:val="0"/>
        </w:rPr>
        <w:t xml:space="preserve">u daně z příjmů fyzických osob z kapitálových výnosů o 476 717 Kč a u </w:t>
      </w:r>
      <w:r w:rsidR="00C205B4">
        <w:rPr>
          <w:b w:val="0"/>
        </w:rPr>
        <w:t>daně z příjmů právnických osob o 4</w:t>
      </w:r>
      <w:r w:rsidR="001A531F">
        <w:rPr>
          <w:b w:val="0"/>
        </w:rPr>
        <w:t xml:space="preserve"> </w:t>
      </w:r>
      <w:r w:rsidR="00C205B4">
        <w:rPr>
          <w:b w:val="0"/>
        </w:rPr>
        <w:t>364 1</w:t>
      </w:r>
      <w:r w:rsidR="00BD0878">
        <w:rPr>
          <w:b w:val="0"/>
        </w:rPr>
        <w:t>4</w:t>
      </w:r>
      <w:r w:rsidR="00C205B4">
        <w:rPr>
          <w:b w:val="0"/>
        </w:rPr>
        <w:t>9 Kč</w:t>
      </w:r>
      <w:r w:rsidR="001A531F">
        <w:rPr>
          <w:b w:val="0"/>
        </w:rPr>
        <w:t>.</w:t>
      </w:r>
      <w:r w:rsidR="00C205B4">
        <w:rPr>
          <w:b w:val="0"/>
        </w:rPr>
        <w:t xml:space="preserve"> </w:t>
      </w:r>
      <w:r w:rsidR="00192079">
        <w:rPr>
          <w:b w:val="0"/>
        </w:rPr>
        <w:t xml:space="preserve">U daňových příjmů </w:t>
      </w:r>
      <w:r w:rsidR="001A531F">
        <w:rPr>
          <w:b w:val="0"/>
        </w:rPr>
        <w:t>nejvyšší nárůst</w:t>
      </w:r>
      <w:r w:rsidR="00192079">
        <w:rPr>
          <w:b w:val="0"/>
        </w:rPr>
        <w:t>,</w:t>
      </w:r>
      <w:r w:rsidR="001A531F">
        <w:rPr>
          <w:b w:val="0"/>
        </w:rPr>
        <w:t xml:space="preserve"> </w:t>
      </w:r>
      <w:r w:rsidR="008048E1">
        <w:rPr>
          <w:b w:val="0"/>
        </w:rPr>
        <w:t>proti</w:t>
      </w:r>
      <w:r w:rsidR="001A531F">
        <w:rPr>
          <w:b w:val="0"/>
        </w:rPr>
        <w:t xml:space="preserve"> schválenému rozpočtu byl v roce 2016 u odvodů za odnětí zemědělského půdního fondu o 95 248 Kč, </w:t>
      </w:r>
      <w:r w:rsidR="000335D2">
        <w:rPr>
          <w:b w:val="0"/>
        </w:rPr>
        <w:t xml:space="preserve">u </w:t>
      </w:r>
      <w:r w:rsidR="001A531F">
        <w:rPr>
          <w:b w:val="0"/>
        </w:rPr>
        <w:t xml:space="preserve">odvodů z výherních hracích přístrojů o 2 671 161 Kč a u správních poplatků </w:t>
      </w:r>
      <w:r w:rsidR="00192079">
        <w:rPr>
          <w:b w:val="0"/>
        </w:rPr>
        <w:t>o 1 719 197 Kč.</w:t>
      </w:r>
      <w:r w:rsidR="001A531F">
        <w:rPr>
          <w:b w:val="0"/>
        </w:rPr>
        <w:t xml:space="preserve"> </w:t>
      </w:r>
      <w:r w:rsidR="0092496A">
        <w:rPr>
          <w:b w:val="0"/>
        </w:rPr>
        <w:t xml:space="preserve"> </w:t>
      </w:r>
      <w:r w:rsidR="00AA5D66">
        <w:rPr>
          <w:b w:val="0"/>
        </w:rPr>
        <w:t>D</w:t>
      </w:r>
      <w:r w:rsidR="0092496A">
        <w:rPr>
          <w:b w:val="0"/>
        </w:rPr>
        <w:t>aňov</w:t>
      </w:r>
      <w:r w:rsidR="00AA5D66">
        <w:rPr>
          <w:b w:val="0"/>
        </w:rPr>
        <w:t>é</w:t>
      </w:r>
      <w:r w:rsidR="0092496A">
        <w:rPr>
          <w:b w:val="0"/>
        </w:rPr>
        <w:t xml:space="preserve"> příjm</w:t>
      </w:r>
      <w:r w:rsidR="00AA5D66">
        <w:rPr>
          <w:b w:val="0"/>
        </w:rPr>
        <w:t>y</w:t>
      </w:r>
      <w:r w:rsidR="0092496A">
        <w:rPr>
          <w:b w:val="0"/>
        </w:rPr>
        <w:t xml:space="preserve"> </w:t>
      </w:r>
      <w:r w:rsidR="00AA5D66">
        <w:rPr>
          <w:b w:val="0"/>
        </w:rPr>
        <w:t>celkem</w:t>
      </w:r>
      <w:r w:rsidR="0092496A">
        <w:rPr>
          <w:b w:val="0"/>
        </w:rPr>
        <w:t xml:space="preserve"> 92 419 946,86 Kč. </w:t>
      </w:r>
    </w:p>
    <w:p w:rsidR="00192079" w:rsidRDefault="00AA5D66" w:rsidP="00171AE7">
      <w:pPr>
        <w:spacing w:line="276" w:lineRule="auto"/>
        <w:rPr>
          <w:b w:val="0"/>
        </w:rPr>
      </w:pPr>
      <w:r w:rsidRPr="006B3C60">
        <w:t>N</w:t>
      </w:r>
      <w:r w:rsidR="00192079" w:rsidRPr="006B3C60">
        <w:t>edaňov</w:t>
      </w:r>
      <w:r w:rsidRPr="006B3C60">
        <w:t>é</w:t>
      </w:r>
      <w:r w:rsidR="00192079" w:rsidRPr="006B3C60">
        <w:t xml:space="preserve"> příjm</w:t>
      </w:r>
      <w:r w:rsidRPr="006B3C60">
        <w:t>y</w:t>
      </w:r>
      <w:r w:rsidR="00192079">
        <w:rPr>
          <w:b w:val="0"/>
        </w:rPr>
        <w:t xml:space="preserve"> dosáhl</w:t>
      </w:r>
      <w:r>
        <w:rPr>
          <w:b w:val="0"/>
        </w:rPr>
        <w:t>y</w:t>
      </w:r>
      <w:r w:rsidR="00192079">
        <w:rPr>
          <w:b w:val="0"/>
        </w:rPr>
        <w:t xml:space="preserve"> výše 11 040 667,08 Kč, tj. plnění na schválený rozpočet 131,8 %.</w:t>
      </w:r>
    </w:p>
    <w:p w:rsidR="008048E1" w:rsidRDefault="008048E1" w:rsidP="00171AE7">
      <w:pPr>
        <w:spacing w:line="276" w:lineRule="auto"/>
        <w:rPr>
          <w:b w:val="0"/>
        </w:rPr>
      </w:pPr>
      <w:r w:rsidRPr="008048E1">
        <w:t>Kapitálov</w:t>
      </w:r>
      <w:bookmarkStart w:id="0" w:name="_GoBack"/>
      <w:bookmarkEnd w:id="0"/>
      <w:r w:rsidRPr="008048E1">
        <w:t>é příjmy</w:t>
      </w:r>
      <w:r>
        <w:t xml:space="preserve"> </w:t>
      </w:r>
      <w:r w:rsidRPr="008048E1">
        <w:rPr>
          <w:b w:val="0"/>
        </w:rPr>
        <w:t>v</w:t>
      </w:r>
      <w:r>
        <w:rPr>
          <w:b w:val="0"/>
        </w:rPr>
        <w:t> roce 2016 dosáhly skutečnosti 536 520 Kč z prodeje pozemků.</w:t>
      </w:r>
    </w:p>
    <w:p w:rsidR="008048E1" w:rsidRDefault="008048E1" w:rsidP="00171AE7">
      <w:pPr>
        <w:spacing w:line="276" w:lineRule="auto"/>
        <w:rPr>
          <w:b w:val="0"/>
        </w:rPr>
      </w:pPr>
      <w:r w:rsidRPr="008048E1">
        <w:lastRenderedPageBreak/>
        <w:t xml:space="preserve">Přijaté </w:t>
      </w:r>
      <w:r w:rsidR="0071712B">
        <w:t>transfery (</w:t>
      </w:r>
      <w:r w:rsidRPr="008048E1">
        <w:t>dotace</w:t>
      </w:r>
      <w:r w:rsidR="0071712B">
        <w:t>)</w:t>
      </w:r>
      <w:r w:rsidRPr="008048E1">
        <w:t xml:space="preserve"> </w:t>
      </w:r>
      <w:r w:rsidRPr="008048E1">
        <w:rPr>
          <w:b w:val="0"/>
        </w:rPr>
        <w:t>v</w:t>
      </w:r>
      <w:r>
        <w:rPr>
          <w:b w:val="0"/>
        </w:rPr>
        <w:t xml:space="preserve"> roce 2016 dosáhly </w:t>
      </w:r>
      <w:r w:rsidR="00820900">
        <w:rPr>
          <w:b w:val="0"/>
        </w:rPr>
        <w:t xml:space="preserve">celkové </w:t>
      </w:r>
      <w:r>
        <w:rPr>
          <w:b w:val="0"/>
        </w:rPr>
        <w:t>výše</w:t>
      </w:r>
      <w:r w:rsidR="00820900">
        <w:rPr>
          <w:b w:val="0"/>
        </w:rPr>
        <w:t xml:space="preserve"> 53 223 580 Kč. Oproti roku předchozímu byly přijaté dotace vyšší o částku 21 050 000 Kč na realizaci I. etapy</w:t>
      </w:r>
      <w:r w:rsidR="006A2BD8">
        <w:rPr>
          <w:b w:val="0"/>
        </w:rPr>
        <w:t xml:space="preserve"> </w:t>
      </w:r>
      <w:r w:rsidR="00820900">
        <w:rPr>
          <w:b w:val="0"/>
        </w:rPr>
        <w:t>rekonstrukce atletického stadionu</w:t>
      </w:r>
      <w:r w:rsidR="0003393C">
        <w:rPr>
          <w:b w:val="0"/>
        </w:rPr>
        <w:t xml:space="preserve"> Slavkov u Brna</w:t>
      </w:r>
      <w:r w:rsidR="00820900">
        <w:rPr>
          <w:b w:val="0"/>
        </w:rPr>
        <w:t>.</w:t>
      </w:r>
    </w:p>
    <w:p w:rsidR="00820900" w:rsidRPr="008048E1" w:rsidRDefault="00820900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Vyhodnocení rozpočtu - rok 2016 - Příjmy</w:t>
      </w: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6002868"/>
            <wp:effectExtent l="1905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Vyhodnocení rozpočtu rok 2016 - příjmy dle tříd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Vyhodnocení rozpočtu rok 2016 - daňové příjmy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Sdílené daně - rok 2016 - plnění po měsících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1869451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Sdílené daně - rok 2016 - plnění po měsících nasčítaně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Sdílené daně - rok 2016 - plnění po měsících absolutně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Sdílené daně - rok 2014 až 2016 - plnění po měsících nasčítaně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Sdílené daně - rok 2016 - plnění jednotlivých daní po měsících absolutně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Sdílené daně - rok 2016 - plnění jednotlivých daní po měsících nasčítaně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1905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5C6" w:rsidRDefault="001F65C6" w:rsidP="001F65C6">
      <w:pPr>
        <w:spacing w:line="240" w:lineRule="auto"/>
        <w:jc w:val="left"/>
      </w:pPr>
    </w:p>
    <w:p w:rsidR="001F65C6" w:rsidRDefault="001F65C6" w:rsidP="001F65C6">
      <w:pPr>
        <w:spacing w:line="240" w:lineRule="auto"/>
        <w:jc w:val="left"/>
      </w:pPr>
    </w:p>
    <w:p w:rsidR="001F65C6" w:rsidRDefault="001F65C6" w:rsidP="001F65C6">
      <w:pPr>
        <w:spacing w:line="240" w:lineRule="auto"/>
        <w:jc w:val="left"/>
      </w:pPr>
    </w:p>
    <w:p w:rsidR="001F65C6" w:rsidRDefault="001F65C6" w:rsidP="001F65C6">
      <w:pPr>
        <w:spacing w:line="240" w:lineRule="auto"/>
        <w:jc w:val="left"/>
      </w:pPr>
    </w:p>
    <w:p w:rsidR="00332036" w:rsidRDefault="00332036" w:rsidP="001F65C6">
      <w:pPr>
        <w:spacing w:line="240" w:lineRule="auto"/>
        <w:jc w:val="left"/>
      </w:pPr>
      <w:r>
        <w:lastRenderedPageBreak/>
        <w:t>Výdaje</w:t>
      </w:r>
    </w:p>
    <w:p w:rsidR="0003393C" w:rsidRDefault="0003393C" w:rsidP="00171AE7">
      <w:pPr>
        <w:spacing w:line="276" w:lineRule="auto"/>
        <w:rPr>
          <w:b w:val="0"/>
        </w:rPr>
      </w:pPr>
      <w:r w:rsidRPr="0003393C">
        <w:t>Běžné výdaje</w:t>
      </w:r>
      <w:r w:rsidRPr="0003393C">
        <w:rPr>
          <w:b w:val="0"/>
        </w:rPr>
        <w:t xml:space="preserve"> </w:t>
      </w:r>
      <w:r>
        <w:rPr>
          <w:b w:val="0"/>
        </w:rPr>
        <w:t>v roce 2016 dosáhly 90 899 536, 97 Kč, tj. plnění na upravený rozpočet 69</w:t>
      </w:r>
      <w:r w:rsidR="00CC2F14">
        <w:rPr>
          <w:b w:val="0"/>
        </w:rPr>
        <w:t xml:space="preserve"> </w:t>
      </w:r>
      <w:r>
        <w:rPr>
          <w:b w:val="0"/>
        </w:rPr>
        <w:t>%.</w:t>
      </w:r>
    </w:p>
    <w:p w:rsidR="0003393C" w:rsidRPr="0003393C" w:rsidRDefault="0003393C" w:rsidP="00171AE7">
      <w:pPr>
        <w:spacing w:line="276" w:lineRule="auto"/>
        <w:rPr>
          <w:b w:val="0"/>
        </w:rPr>
      </w:pPr>
      <w:r w:rsidRPr="0003393C">
        <w:t>Kapitálové výdaje</w:t>
      </w:r>
      <w:r>
        <w:rPr>
          <w:b w:val="0"/>
        </w:rPr>
        <w:t xml:space="preserve"> byly v roce 2016 ve výši 31 060 325,74 Kč. Nejvyšším investičním výdajem byl v roce 2016 výdaj na I. etapu rek</w:t>
      </w:r>
      <w:r w:rsidR="001F65C6">
        <w:rPr>
          <w:b w:val="0"/>
        </w:rPr>
        <w:t xml:space="preserve">onstrukce atletického stadionu </w:t>
      </w:r>
      <w:r>
        <w:rPr>
          <w:b w:val="0"/>
        </w:rPr>
        <w:t>Slavkov u Brna</w:t>
      </w:r>
      <w:r w:rsidR="001F65C6">
        <w:rPr>
          <w:b w:val="0"/>
        </w:rPr>
        <w:t xml:space="preserve"> ve výši 25 463 380 Kč, dotace na tuto akci byla poskytnuta z MŠMT ve výši 15 000 000 Kč a dotace z JMK ve výši 6 050 000 Kč, spoluúčast města Slavkov u Brna ve výši 4 413 380 Kč. Menší investiční akcí byl nákup a instalace </w:t>
      </w:r>
      <w:r w:rsidR="002158F1">
        <w:rPr>
          <w:b w:val="0"/>
        </w:rPr>
        <w:t xml:space="preserve">úsekového měření </w:t>
      </w:r>
      <w:r w:rsidR="003E7543">
        <w:rPr>
          <w:b w:val="0"/>
        </w:rPr>
        <w:t>rychlosti v celkové</w:t>
      </w:r>
      <w:r w:rsidR="001F65C6">
        <w:rPr>
          <w:b w:val="0"/>
        </w:rPr>
        <w:t xml:space="preserve"> výši 1 807 944 Kč.</w:t>
      </w:r>
    </w:p>
    <w:p w:rsidR="00171AE7" w:rsidRDefault="00171AE7" w:rsidP="00171AE7">
      <w:pPr>
        <w:spacing w:line="276" w:lineRule="auto"/>
      </w:pPr>
      <w:r>
        <w:t>Vyhodnocení běžných výdajů za odvětvové třídění (paragrafy)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7118499"/>
            <wp:effectExtent l="1905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1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F65C6">
      <w:pPr>
        <w:spacing w:line="240" w:lineRule="auto"/>
        <w:jc w:val="left"/>
      </w:pPr>
      <w:r>
        <w:br w:type="page"/>
      </w:r>
      <w:r w:rsidRPr="001F65C6">
        <w:rPr>
          <w:i/>
        </w:rPr>
        <w:lastRenderedPageBreak/>
        <w:t>V</w:t>
      </w:r>
      <w:r>
        <w:t>yhodnocení kapitálových výdajů rozpočtu za odvětvové třídění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2240007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28" w:rsidRDefault="00166528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7A6392" w:rsidRDefault="007A6392" w:rsidP="001F65C6">
      <w:pPr>
        <w:spacing w:line="240" w:lineRule="auto"/>
        <w:jc w:val="left"/>
      </w:pPr>
    </w:p>
    <w:p w:rsidR="00171AE7" w:rsidRDefault="00171AE7" w:rsidP="001F65C6">
      <w:pPr>
        <w:spacing w:line="240" w:lineRule="auto"/>
        <w:jc w:val="left"/>
      </w:pPr>
      <w:r>
        <w:lastRenderedPageBreak/>
        <w:t>Vyhodnocení běžných a kapitálových výdajů rozpočtu za odvětvové třídění - rok 2016</w:t>
      </w:r>
    </w:p>
    <w:p w:rsidR="00171AE7" w:rsidRDefault="00171AE7" w:rsidP="00171AE7">
      <w:pPr>
        <w:spacing w:line="276" w:lineRule="auto"/>
      </w:pPr>
    </w:p>
    <w:p w:rsidR="00171AE7" w:rsidRDefault="007B5AF3" w:rsidP="00171AE7">
      <w:pPr>
        <w:spacing w:line="276" w:lineRule="auto"/>
      </w:pPr>
      <w:r>
        <w:rPr>
          <w:noProof/>
        </w:rPr>
        <w:drawing>
          <wp:inline distT="0" distB="0" distL="0" distR="0" wp14:anchorId="2DE33956" wp14:editId="011B6832">
            <wp:extent cx="5177886" cy="8280000"/>
            <wp:effectExtent l="19050" t="0" r="3714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886" cy="82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Vyhodnocení výdajů rozpočtu za oddíly odvětvového třídění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6635067"/>
            <wp:effectExtent l="1905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Vyhodnocení výdajů rozpočtu za oddíly odvětvového třídění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Vyhodnocení skutečnosti celkových výdajů za oddíly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4380865" cy="3245485"/>
            <wp:effectExtent l="19050" t="0" r="635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2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Vyhodnocení skutečnosti výdajů za oddíly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60090"/>
            <wp:effectExtent l="1905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703859" w:rsidRDefault="00703859" w:rsidP="00703859">
      <w:pPr>
        <w:spacing w:line="276" w:lineRule="auto"/>
      </w:pPr>
      <w:r>
        <w:t>Vyhodnocení skutečnosti kapitálových výdajů za oddíly - rok 2016</w:t>
      </w:r>
    </w:p>
    <w:p w:rsidR="00703859" w:rsidRDefault="00703859" w:rsidP="00703859">
      <w:pPr>
        <w:spacing w:line="276" w:lineRule="auto"/>
      </w:pPr>
    </w:p>
    <w:p w:rsidR="00703859" w:rsidRDefault="00703859" w:rsidP="00703859">
      <w:pPr>
        <w:spacing w:line="276" w:lineRule="auto"/>
      </w:pPr>
      <w:r w:rsidRPr="00703859">
        <w:rPr>
          <w:noProof/>
        </w:rPr>
        <w:drawing>
          <wp:inline distT="0" distB="0" distL="0" distR="0">
            <wp:extent cx="4457700" cy="1952625"/>
            <wp:effectExtent l="19050" t="0" r="0" b="0"/>
            <wp:docPr id="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59" w:rsidRDefault="00703859" w:rsidP="00171AE7">
      <w:pPr>
        <w:spacing w:line="276" w:lineRule="auto"/>
      </w:pPr>
    </w:p>
    <w:p w:rsidR="00703859" w:rsidRDefault="00703859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Vyhodnocení skutečnosti kapitálových výdajů za oddíly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60090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</w:p>
    <w:p w:rsidR="00171AE7" w:rsidRDefault="00171AE7" w:rsidP="00171AE7">
      <w:pPr>
        <w:spacing w:line="276" w:lineRule="auto"/>
      </w:pPr>
      <w:r>
        <w:t>Vyhodnocení celkových výdajů za skupiny odvětvového třídění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275580" cy="1306195"/>
            <wp:effectExtent l="19050" t="0" r="127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703859" w:rsidRDefault="00703859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Vyhodnocení výdajů rozpočtu za skupiny odvětvového třídění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59" w:rsidRDefault="00703859">
      <w:pPr>
        <w:spacing w:line="240" w:lineRule="auto"/>
        <w:jc w:val="left"/>
      </w:pPr>
    </w:p>
    <w:p w:rsidR="00171AE7" w:rsidRDefault="00171AE7" w:rsidP="00171AE7">
      <w:pPr>
        <w:spacing w:line="276" w:lineRule="auto"/>
      </w:pPr>
      <w:r>
        <w:t>Vyhodnocení skutečnosti příjmů a výdajů po měsících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2884170" cy="2441575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703859" w:rsidRDefault="00703859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Vyhodnocení skutečnosti příjmů a výdajů po měsících absolutně-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859" w:rsidRDefault="00703859">
      <w:pPr>
        <w:spacing w:line="240" w:lineRule="auto"/>
        <w:jc w:val="left"/>
      </w:pPr>
    </w:p>
    <w:p w:rsidR="00171AE7" w:rsidRDefault="00171AE7" w:rsidP="00171AE7">
      <w:pPr>
        <w:spacing w:line="276" w:lineRule="auto"/>
      </w:pPr>
      <w:r>
        <w:t>Vyhodnocení skutečnosti příjmů a výdajů po měsících nasčítaně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Vyhodnocení běžných a kapitálových výdajů po měsících-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2884170" cy="2461895"/>
            <wp:effectExtent l="1905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Vyhodnocení běžných a kapitálových výdajů po měsících absolutně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>
      <w:pPr>
        <w:spacing w:line="240" w:lineRule="auto"/>
        <w:jc w:val="left"/>
      </w:pPr>
      <w:r>
        <w:br w:type="page"/>
      </w:r>
    </w:p>
    <w:p w:rsidR="00171AE7" w:rsidRDefault="00171AE7" w:rsidP="00171AE7">
      <w:pPr>
        <w:spacing w:line="276" w:lineRule="auto"/>
      </w:pPr>
      <w:r>
        <w:lastRenderedPageBreak/>
        <w:t>Saldo provozního přebytku po měsících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2884170" cy="2441575"/>
            <wp:effectExtent l="1905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Saldo provozního přebytku po měsících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171AE7" w:rsidRDefault="005B5174" w:rsidP="00171AE7">
      <w:pPr>
        <w:spacing w:line="276" w:lineRule="auto"/>
      </w:pPr>
      <w:r>
        <w:lastRenderedPageBreak/>
        <w:t>Financování</w:t>
      </w:r>
    </w:p>
    <w:p w:rsidR="005B5174" w:rsidRDefault="004F3D8F" w:rsidP="00171AE7">
      <w:pPr>
        <w:spacing w:line="276" w:lineRule="auto"/>
        <w:rPr>
          <w:b w:val="0"/>
        </w:rPr>
      </w:pPr>
      <w:r w:rsidRPr="004F3D8F">
        <w:rPr>
          <w:b w:val="0"/>
        </w:rPr>
        <w:t xml:space="preserve">Kladné saldo </w:t>
      </w:r>
      <w:r w:rsidR="005F647E">
        <w:rPr>
          <w:b w:val="0"/>
        </w:rPr>
        <w:t>mezi skutečně přijatými příjmy a uskutečněnými výdaji v </w:t>
      </w:r>
      <w:r w:rsidR="00A6472C">
        <w:rPr>
          <w:b w:val="0"/>
        </w:rPr>
        <w:t xml:space="preserve">roce 2016 ve výši 35 260 849,95 </w:t>
      </w:r>
      <w:r w:rsidR="005F647E">
        <w:rPr>
          <w:b w:val="0"/>
        </w:rPr>
        <w:t>Kč se skládá ze splátek úvěrů ve výši 8 258 745,30 K</w:t>
      </w:r>
      <w:r w:rsidR="002B05D9">
        <w:rPr>
          <w:b w:val="0"/>
        </w:rPr>
        <w:t xml:space="preserve">č, ze splátky nerozpočtovaných </w:t>
      </w:r>
      <w:r w:rsidR="005F647E">
        <w:rPr>
          <w:b w:val="0"/>
        </w:rPr>
        <w:t xml:space="preserve">výdajů, převážně osobní výdaje za prosinec 2015 a nárůstu finančních prostředků </w:t>
      </w:r>
      <w:r w:rsidR="002B05D9">
        <w:rPr>
          <w:b w:val="0"/>
        </w:rPr>
        <w:t xml:space="preserve">na </w:t>
      </w:r>
      <w:r w:rsidR="000D268E">
        <w:rPr>
          <w:b w:val="0"/>
        </w:rPr>
        <w:t xml:space="preserve">běžných </w:t>
      </w:r>
      <w:r w:rsidR="002B05D9">
        <w:rPr>
          <w:b w:val="0"/>
        </w:rPr>
        <w:t xml:space="preserve">bankovních účtech </w:t>
      </w:r>
      <w:r w:rsidR="005F647E">
        <w:rPr>
          <w:b w:val="0"/>
        </w:rPr>
        <w:t xml:space="preserve">ve výši 23 203 268,65 Kč. Tato částka byla zapojena do rozpočtu 2017 k pokrytí </w:t>
      </w:r>
      <w:r w:rsidR="00970405">
        <w:rPr>
          <w:b w:val="0"/>
        </w:rPr>
        <w:t>schodku</w:t>
      </w:r>
      <w:r w:rsidR="005F647E">
        <w:rPr>
          <w:b w:val="0"/>
        </w:rPr>
        <w:t>.</w:t>
      </w:r>
    </w:p>
    <w:p w:rsidR="000C3C01" w:rsidRDefault="000C3C01" w:rsidP="00171AE7">
      <w:pPr>
        <w:spacing w:line="276" w:lineRule="auto"/>
        <w:rPr>
          <w:b w:val="0"/>
        </w:rPr>
      </w:pPr>
      <w:r>
        <w:rPr>
          <w:b w:val="0"/>
        </w:rPr>
        <w:t xml:space="preserve">V roce 2016 nebyla uzavřena žádná smlouva o poskytnutí úvěru. </w:t>
      </w:r>
      <w:r w:rsidR="004D554A">
        <w:rPr>
          <w:b w:val="0"/>
        </w:rPr>
        <w:t>V měsíci dubnu b</w:t>
      </w:r>
      <w:r>
        <w:rPr>
          <w:b w:val="0"/>
        </w:rPr>
        <w:t xml:space="preserve">yl </w:t>
      </w:r>
      <w:r w:rsidR="004D554A">
        <w:rPr>
          <w:b w:val="0"/>
        </w:rPr>
        <w:t>splacen úvěr na ulici Husova.</w:t>
      </w:r>
    </w:p>
    <w:p w:rsidR="005F647E" w:rsidRDefault="005F647E" w:rsidP="00171AE7">
      <w:pPr>
        <w:spacing w:line="276" w:lineRule="auto"/>
        <w:rPr>
          <w:b w:val="0"/>
        </w:rPr>
      </w:pPr>
    </w:p>
    <w:p w:rsidR="00171AE7" w:rsidRDefault="00171AE7" w:rsidP="00171AE7">
      <w:pPr>
        <w:spacing w:line="276" w:lineRule="auto"/>
      </w:pPr>
      <w:r>
        <w:t>Vyhodnocení položek financování rok 2016 (Skutečnost vč. 8115)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840218"/>
            <wp:effectExtent l="1905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47E" w:rsidRDefault="005F647E" w:rsidP="005F647E">
      <w:pPr>
        <w:spacing w:line="240" w:lineRule="auto"/>
        <w:jc w:val="left"/>
      </w:pPr>
    </w:p>
    <w:p w:rsidR="005F647E" w:rsidRDefault="005F647E" w:rsidP="005F647E">
      <w:pPr>
        <w:spacing w:line="240" w:lineRule="auto"/>
        <w:jc w:val="left"/>
      </w:pPr>
    </w:p>
    <w:p w:rsidR="005F647E" w:rsidRDefault="005F647E" w:rsidP="005F647E">
      <w:pPr>
        <w:spacing w:line="240" w:lineRule="auto"/>
        <w:jc w:val="left"/>
      </w:pPr>
    </w:p>
    <w:p w:rsidR="005F647E" w:rsidRDefault="005F647E" w:rsidP="005F647E">
      <w:pPr>
        <w:spacing w:line="240" w:lineRule="auto"/>
        <w:jc w:val="left"/>
      </w:pPr>
    </w:p>
    <w:p w:rsidR="00171AE7" w:rsidRDefault="00171AE7" w:rsidP="005F647E">
      <w:pPr>
        <w:spacing w:line="240" w:lineRule="auto"/>
        <w:jc w:val="left"/>
      </w:pPr>
      <w:r>
        <w:t>Zůstatky finančních prostředků na peněžních účtech - rok 2014 až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0720" cy="3553696"/>
            <wp:effectExtent l="1905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47E" w:rsidRDefault="005F647E" w:rsidP="00171AE7">
      <w:pPr>
        <w:spacing w:line="276" w:lineRule="auto"/>
      </w:pPr>
    </w:p>
    <w:p w:rsidR="00A626CD" w:rsidRDefault="00A626CD" w:rsidP="00171AE7">
      <w:pPr>
        <w:spacing w:line="276" w:lineRule="auto"/>
      </w:pPr>
    </w:p>
    <w:p w:rsidR="00A626CD" w:rsidRDefault="00A626CD" w:rsidP="00171AE7">
      <w:pPr>
        <w:spacing w:line="276" w:lineRule="auto"/>
      </w:pPr>
    </w:p>
    <w:p w:rsidR="00A626CD" w:rsidRDefault="00A626CD" w:rsidP="00171AE7">
      <w:pPr>
        <w:spacing w:line="276" w:lineRule="auto"/>
      </w:pPr>
    </w:p>
    <w:p w:rsidR="00A626CD" w:rsidRDefault="00A626CD" w:rsidP="00171AE7">
      <w:pPr>
        <w:spacing w:line="276" w:lineRule="auto"/>
      </w:pPr>
    </w:p>
    <w:p w:rsidR="00A626CD" w:rsidRDefault="00A626CD" w:rsidP="00171AE7">
      <w:pPr>
        <w:spacing w:line="276" w:lineRule="auto"/>
      </w:pPr>
    </w:p>
    <w:p w:rsidR="00A626CD" w:rsidRDefault="00A626CD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lastRenderedPageBreak/>
        <w:t>Zůstatky finančních prostředků na peněžních účtech - rok 2016</w:t>
      </w:r>
    </w:p>
    <w:p w:rsidR="00171AE7" w:rsidRDefault="00171AE7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5761591" cy="2369489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6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6CD" w:rsidRDefault="00A626CD" w:rsidP="005F647E">
      <w:pPr>
        <w:spacing w:line="240" w:lineRule="auto"/>
        <w:jc w:val="left"/>
      </w:pPr>
    </w:p>
    <w:p w:rsidR="00171AE7" w:rsidRDefault="00171AE7" w:rsidP="005F647E">
      <w:pPr>
        <w:spacing w:line="240" w:lineRule="auto"/>
        <w:jc w:val="left"/>
      </w:pPr>
      <w:r>
        <w:t>Vývoj ukazatele dluhové služby v letech 2012 až 2016 (nová metodika)</w:t>
      </w:r>
    </w:p>
    <w:p w:rsidR="00171AE7" w:rsidRDefault="00171AE7" w:rsidP="00171AE7">
      <w:pPr>
        <w:spacing w:line="276" w:lineRule="auto"/>
      </w:pPr>
      <w:r>
        <w:rPr>
          <w:b w:val="0"/>
        </w:rPr>
        <w:t>Ukazatel dluhové služby podle nové metodiky výpočtu, kde je dluhová základna ekvivalentní celkovým příjmům.</w:t>
      </w:r>
    </w:p>
    <w:p w:rsidR="00A626CD" w:rsidRDefault="00A626CD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rPr>
          <w:noProof/>
        </w:rPr>
        <w:drawing>
          <wp:inline distT="0" distB="0" distL="0" distR="0">
            <wp:extent cx="4461510" cy="653415"/>
            <wp:effectExtent l="1905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6CD" w:rsidRDefault="00A626CD" w:rsidP="00171AE7">
      <w:pPr>
        <w:spacing w:line="276" w:lineRule="auto"/>
      </w:pPr>
    </w:p>
    <w:p w:rsidR="00171AE7" w:rsidRDefault="00171AE7" w:rsidP="00171AE7">
      <w:pPr>
        <w:spacing w:line="276" w:lineRule="auto"/>
      </w:pPr>
      <w:r>
        <w:t>Vývoj dluhové služby za léta 2012 až 2016 (nová metodika)</w:t>
      </w:r>
    </w:p>
    <w:p w:rsidR="00171AE7" w:rsidRDefault="00171AE7" w:rsidP="00171AE7">
      <w:pPr>
        <w:spacing w:line="276" w:lineRule="auto"/>
      </w:pPr>
    </w:p>
    <w:p w:rsidR="00A626CD" w:rsidRPr="00A626CD" w:rsidRDefault="00171AE7" w:rsidP="00A626CD">
      <w:pPr>
        <w:spacing w:line="276" w:lineRule="auto"/>
      </w:pPr>
      <w:r>
        <w:rPr>
          <w:noProof/>
        </w:rPr>
        <w:drawing>
          <wp:inline distT="0" distB="0" distL="0" distR="0" wp14:anchorId="5096B957" wp14:editId="41512449">
            <wp:extent cx="5760720" cy="3553696"/>
            <wp:effectExtent l="1905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26CD" w:rsidRPr="004D554A">
        <w:rPr>
          <w:b w:val="0"/>
        </w:rPr>
        <w:t>Podrobnější plnění</w:t>
      </w:r>
      <w:r w:rsidR="00A626CD">
        <w:rPr>
          <w:b w:val="0"/>
        </w:rPr>
        <w:t xml:space="preserve"> rozpočtu viz příloha č. 1  - Závěrečný účet, kde jsou k dispozici také údaje o plnění rozpočtu v plném členění podle rozpočtové skladby.</w:t>
      </w:r>
    </w:p>
    <w:p w:rsidR="00A626CD" w:rsidRDefault="00E321FC" w:rsidP="00E321FC">
      <w:pPr>
        <w:pStyle w:val="Odstavecseseznamem"/>
        <w:numPr>
          <w:ilvl w:val="0"/>
          <w:numId w:val="10"/>
        </w:numPr>
        <w:spacing w:line="240" w:lineRule="auto"/>
        <w:jc w:val="left"/>
      </w:pPr>
      <w:r w:rsidRPr="00E321FC">
        <w:lastRenderedPageBreak/>
        <w:t xml:space="preserve">Hospodaření s majetkem města </w:t>
      </w:r>
      <w:r>
        <w:t xml:space="preserve">Slavkov u Brna </w:t>
      </w:r>
      <w:r w:rsidRPr="00E321FC">
        <w:t>a další finanční operace</w:t>
      </w:r>
    </w:p>
    <w:p w:rsidR="00AA72BA" w:rsidRDefault="00AA72BA" w:rsidP="00E321FC">
      <w:pPr>
        <w:spacing w:line="240" w:lineRule="auto"/>
        <w:jc w:val="left"/>
        <w:rPr>
          <w:b w:val="0"/>
        </w:rPr>
      </w:pPr>
    </w:p>
    <w:p w:rsidR="006F1976" w:rsidRDefault="00AA72BA" w:rsidP="00E816E2">
      <w:pPr>
        <w:spacing w:line="240" w:lineRule="auto"/>
        <w:rPr>
          <w:b w:val="0"/>
        </w:rPr>
      </w:pPr>
      <w:r w:rsidRPr="00AA72BA">
        <w:rPr>
          <w:b w:val="0"/>
        </w:rPr>
        <w:t>K</w:t>
      </w:r>
      <w:r w:rsidR="00961710">
        <w:rPr>
          <w:b w:val="0"/>
        </w:rPr>
        <w:t xml:space="preserve"> datu </w:t>
      </w:r>
      <w:r w:rsidR="006F1976">
        <w:rPr>
          <w:b w:val="0"/>
        </w:rPr>
        <w:t>31. 12. 2016</w:t>
      </w:r>
      <w:r>
        <w:rPr>
          <w:b w:val="0"/>
        </w:rPr>
        <w:t xml:space="preserve"> město Slavkov u Brna vykazuje aktiva ve výši 875 703 865,16 Kč (netto). Tato aktiva jsou kryta vlastními zdroji ve výši </w:t>
      </w:r>
      <w:r w:rsidR="00E816E2">
        <w:rPr>
          <w:b w:val="0"/>
        </w:rPr>
        <w:t>781 792 122,14 Kč a cizími zdroji ve výši 93 911 743,02 Kč. Aktiva jsou tedy v převážné míře kryta vlastními zdroji, což ukazuje na dlouhodobé dobré hospodaření města Slavkov u Brna</w:t>
      </w:r>
      <w:r w:rsidR="006F1976">
        <w:rPr>
          <w:b w:val="0"/>
        </w:rPr>
        <w:t xml:space="preserve">. </w:t>
      </w:r>
    </w:p>
    <w:p w:rsidR="006F1976" w:rsidRDefault="006F1976" w:rsidP="00E816E2">
      <w:pPr>
        <w:spacing w:line="240" w:lineRule="auto"/>
        <w:rPr>
          <w:b w:val="0"/>
        </w:rPr>
      </w:pPr>
    </w:p>
    <w:p w:rsidR="006F1976" w:rsidRDefault="006F1976" w:rsidP="00E816E2">
      <w:pPr>
        <w:spacing w:line="240" w:lineRule="auto"/>
        <w:rPr>
          <w:b w:val="0"/>
        </w:rPr>
      </w:pPr>
      <w:r w:rsidRPr="006F1976">
        <w:t>Stálá aktiva</w:t>
      </w:r>
      <w:r>
        <w:t xml:space="preserve"> </w:t>
      </w:r>
      <w:r w:rsidRPr="006F1976">
        <w:rPr>
          <w:b w:val="0"/>
        </w:rPr>
        <w:t>ve výši</w:t>
      </w:r>
      <w:r>
        <w:rPr>
          <w:b w:val="0"/>
        </w:rPr>
        <w:t xml:space="preserve"> 744 553 803,14 Kč (netto, po odpočtu oprávek).</w:t>
      </w:r>
    </w:p>
    <w:p w:rsidR="00F23DEA" w:rsidRDefault="00F23DEA" w:rsidP="00E816E2">
      <w:pPr>
        <w:spacing w:line="240" w:lineRule="auto"/>
      </w:pPr>
    </w:p>
    <w:p w:rsidR="006F1976" w:rsidRDefault="006F1976" w:rsidP="00E816E2">
      <w:pPr>
        <w:spacing w:line="240" w:lineRule="auto"/>
        <w:rPr>
          <w:b w:val="0"/>
        </w:rPr>
      </w:pPr>
      <w:r w:rsidRPr="006F1976">
        <w:t>Oběžná aktiva</w:t>
      </w:r>
      <w:r>
        <w:rPr>
          <w:b w:val="0"/>
        </w:rPr>
        <w:t xml:space="preserve"> ve </w:t>
      </w:r>
      <w:r w:rsidR="002C166A">
        <w:rPr>
          <w:b w:val="0"/>
        </w:rPr>
        <w:t>výši 131 150 062,02</w:t>
      </w:r>
      <w:r>
        <w:rPr>
          <w:b w:val="0"/>
        </w:rPr>
        <w:t xml:space="preserve"> Kč (netto).</w:t>
      </w:r>
    </w:p>
    <w:p w:rsidR="00F23DEA" w:rsidRDefault="00F23DEA" w:rsidP="00E816E2">
      <w:pPr>
        <w:spacing w:line="240" w:lineRule="auto"/>
      </w:pPr>
    </w:p>
    <w:p w:rsidR="006F1976" w:rsidRDefault="006F1976" w:rsidP="00E816E2">
      <w:pPr>
        <w:spacing w:line="240" w:lineRule="auto"/>
        <w:rPr>
          <w:b w:val="0"/>
        </w:rPr>
      </w:pPr>
      <w:r w:rsidRPr="006F1976">
        <w:t xml:space="preserve">Vlastní </w:t>
      </w:r>
      <w:r w:rsidR="002C166A" w:rsidRPr="006F1976">
        <w:t>kapitál</w:t>
      </w:r>
      <w:r w:rsidR="002C166A">
        <w:rPr>
          <w:b w:val="0"/>
        </w:rPr>
        <w:t xml:space="preserve"> ve</w:t>
      </w:r>
      <w:r>
        <w:rPr>
          <w:b w:val="0"/>
        </w:rPr>
        <w:t xml:space="preserve"> výši 781 792 122,14 Kč.</w:t>
      </w:r>
    </w:p>
    <w:p w:rsidR="00F23DEA" w:rsidRDefault="00F23DEA" w:rsidP="00E816E2">
      <w:pPr>
        <w:spacing w:line="240" w:lineRule="auto"/>
      </w:pPr>
    </w:p>
    <w:p w:rsidR="006F1976" w:rsidRDefault="00F23DEA" w:rsidP="00E816E2">
      <w:pPr>
        <w:spacing w:line="240" w:lineRule="auto"/>
        <w:rPr>
          <w:b w:val="0"/>
        </w:rPr>
      </w:pPr>
      <w:r>
        <w:t xml:space="preserve">Cizí zdroje ve výši </w:t>
      </w:r>
      <w:r w:rsidR="006F1976">
        <w:rPr>
          <w:b w:val="0"/>
        </w:rPr>
        <w:t xml:space="preserve">93 911 743,02 Kč, které jsou převážně tvořeny </w:t>
      </w:r>
      <w:r>
        <w:rPr>
          <w:b w:val="0"/>
        </w:rPr>
        <w:t xml:space="preserve">zůstatkem poskytnutých dlouhodobých úvěrů ve výši 41 499 875,56 Kč a krátkodobými závazky ve výši 39 043 924,76 Kč, kde největší položkou je částka ve výši 26 304 581,08 Kč, </w:t>
      </w:r>
      <w:r w:rsidR="002C166A">
        <w:rPr>
          <w:b w:val="0"/>
        </w:rPr>
        <w:t>která představuje</w:t>
      </w:r>
      <w:r>
        <w:rPr>
          <w:b w:val="0"/>
        </w:rPr>
        <w:t xml:space="preserve"> zálohy na přijaté transfery (dotace I. etapa rekonstrukce atletického stadionu, SPOD…). </w:t>
      </w:r>
    </w:p>
    <w:p w:rsidR="00F23DEA" w:rsidRPr="006F1976" w:rsidRDefault="00F23DEA" w:rsidP="00E816E2">
      <w:pPr>
        <w:spacing w:line="240" w:lineRule="auto"/>
        <w:rPr>
          <w:b w:val="0"/>
        </w:rPr>
      </w:pPr>
    </w:p>
    <w:p w:rsidR="00F23DEA" w:rsidRDefault="00F23DEA" w:rsidP="00E816E2">
      <w:pPr>
        <w:spacing w:line="240" w:lineRule="auto"/>
        <w:rPr>
          <w:b w:val="0"/>
        </w:rPr>
      </w:pPr>
    </w:p>
    <w:p w:rsidR="00F23DEA" w:rsidRDefault="00F23DEA" w:rsidP="00E816E2">
      <w:pPr>
        <w:spacing w:line="240" w:lineRule="auto"/>
      </w:pPr>
      <w:r w:rsidRPr="00F23DEA">
        <w:t>Výkaz zisku a ztrát</w:t>
      </w:r>
      <w:r w:rsidR="00A6472C">
        <w:t>y</w:t>
      </w:r>
    </w:p>
    <w:p w:rsidR="00F23DEA" w:rsidRDefault="00F23DEA" w:rsidP="00E816E2">
      <w:pPr>
        <w:spacing w:line="240" w:lineRule="auto"/>
        <w:rPr>
          <w:b w:val="0"/>
        </w:rPr>
      </w:pPr>
      <w:r>
        <w:rPr>
          <w:b w:val="0"/>
        </w:rPr>
        <w:t xml:space="preserve">Město Slavkov u Brna skončilo hospodaření v hlavní činnosti za rok 2016 </w:t>
      </w:r>
      <w:r w:rsidR="001E1195">
        <w:rPr>
          <w:b w:val="0"/>
        </w:rPr>
        <w:t>s výsledkem hospodaření ve výši 19 538 267,38 Kč, náklady ve výši 118 851 176,94 Kč a výnosy ve výši 138 389 444,32 Kč.</w:t>
      </w:r>
    </w:p>
    <w:p w:rsidR="001E1195" w:rsidRDefault="001E1195" w:rsidP="00E816E2">
      <w:pPr>
        <w:spacing w:line="240" w:lineRule="auto"/>
        <w:rPr>
          <w:b w:val="0"/>
        </w:rPr>
      </w:pPr>
    </w:p>
    <w:p w:rsidR="001E1195" w:rsidRDefault="001E1195" w:rsidP="00E816E2">
      <w:pPr>
        <w:spacing w:line="240" w:lineRule="auto"/>
        <w:rPr>
          <w:b w:val="0"/>
        </w:rPr>
      </w:pPr>
      <w:r>
        <w:rPr>
          <w:b w:val="0"/>
        </w:rPr>
        <w:t xml:space="preserve">Hlavním zdrojem výnosů města Slavkov u Brna jsou výnosy ze sdílených daní a poplatků, které tvoří zhruba </w:t>
      </w:r>
      <w:r w:rsidR="003511F8">
        <w:rPr>
          <w:b w:val="0"/>
        </w:rPr>
        <w:t>62 % všech výnosů.  Dalšími zdroji výnosů jsou výnosy z činnosti (ze správních poplatků, z poplatků za komunální odpad, výnosy z transferů (dotace).</w:t>
      </w:r>
    </w:p>
    <w:p w:rsidR="003511F8" w:rsidRDefault="003511F8" w:rsidP="00E816E2">
      <w:pPr>
        <w:spacing w:line="240" w:lineRule="auto"/>
        <w:rPr>
          <w:b w:val="0"/>
        </w:rPr>
      </w:pPr>
    </w:p>
    <w:p w:rsidR="003511F8" w:rsidRDefault="003511F8" w:rsidP="00E816E2">
      <w:pPr>
        <w:spacing w:line="240" w:lineRule="auto"/>
        <w:rPr>
          <w:b w:val="0"/>
        </w:rPr>
      </w:pPr>
      <w:r>
        <w:rPr>
          <w:b w:val="0"/>
        </w:rPr>
        <w:t xml:space="preserve">Největší nákladovou položkou jsou náklady z činnosti (osobní náklady, náklady </w:t>
      </w:r>
      <w:r w:rsidR="005232B0">
        <w:rPr>
          <w:b w:val="0"/>
        </w:rPr>
        <w:t>n</w:t>
      </w:r>
      <w:r>
        <w:rPr>
          <w:b w:val="0"/>
        </w:rPr>
        <w:t>a odpisy</w:t>
      </w:r>
      <w:r w:rsidR="005232B0">
        <w:rPr>
          <w:b w:val="0"/>
        </w:rPr>
        <w:t xml:space="preserve"> dlouhodobého majetku</w:t>
      </w:r>
      <w:r>
        <w:rPr>
          <w:b w:val="0"/>
        </w:rPr>
        <w:t>, náklady na služby, opravy a udržování). Náklady na neinvestiční příspěvky zřízeným příspěvkovým organizacím</w:t>
      </w:r>
      <w:r w:rsidR="005232B0">
        <w:rPr>
          <w:b w:val="0"/>
        </w:rPr>
        <w:t xml:space="preserve"> a poskytnuté dotace spolkům a zájmovým sdružením. </w:t>
      </w:r>
    </w:p>
    <w:p w:rsidR="005232B0" w:rsidRDefault="005232B0" w:rsidP="00E816E2">
      <w:pPr>
        <w:spacing w:line="240" w:lineRule="auto"/>
        <w:rPr>
          <w:b w:val="0"/>
        </w:rPr>
      </w:pPr>
    </w:p>
    <w:p w:rsidR="005232B0" w:rsidRDefault="005232B0" w:rsidP="00E816E2">
      <w:pPr>
        <w:spacing w:line="240" w:lineRule="auto"/>
        <w:rPr>
          <w:b w:val="0"/>
        </w:rPr>
      </w:pPr>
      <w:r>
        <w:rPr>
          <w:b w:val="0"/>
        </w:rPr>
        <w:t>Údaje o stavu a vývoji majetku za běžný rok včetně popisu významných vlivů na změny stavů viz příloha č. 2 -  Zpráva o výsledku přezkoumání hospodaření za rok 2016 města Slavkov u Brna</w:t>
      </w:r>
      <w:r w:rsidR="007E2E93">
        <w:rPr>
          <w:b w:val="0"/>
        </w:rPr>
        <w:t xml:space="preserve"> (Rozvaha, Výkaz zisku a ztráty, Příloha účetní závěrky, Přehled o peněžních tocích, Přehled o změnách vlastního kapitálu, Výkaz pro hodnocení plnění rozpočtu)</w:t>
      </w:r>
      <w:r>
        <w:rPr>
          <w:b w:val="0"/>
        </w:rPr>
        <w:t>, příloha č. 1 – Závěrečný účet.</w:t>
      </w:r>
    </w:p>
    <w:p w:rsidR="005232B0" w:rsidRDefault="005232B0" w:rsidP="00E816E2">
      <w:pPr>
        <w:spacing w:line="240" w:lineRule="auto"/>
        <w:rPr>
          <w:b w:val="0"/>
        </w:rPr>
      </w:pPr>
    </w:p>
    <w:p w:rsidR="001E1195" w:rsidRDefault="001E1195" w:rsidP="00E816E2">
      <w:pPr>
        <w:spacing w:line="240" w:lineRule="auto"/>
        <w:rPr>
          <w:b w:val="0"/>
        </w:rPr>
      </w:pPr>
    </w:p>
    <w:p w:rsidR="001E1195" w:rsidRDefault="002C166A" w:rsidP="001E1195">
      <w:pPr>
        <w:pStyle w:val="Odstavecseseznamem"/>
        <w:numPr>
          <w:ilvl w:val="0"/>
          <w:numId w:val="10"/>
        </w:numPr>
        <w:spacing w:line="240" w:lineRule="auto"/>
      </w:pPr>
      <w:r w:rsidRPr="002C166A">
        <w:t>Tvorba a použití fondů</w:t>
      </w:r>
    </w:p>
    <w:p w:rsidR="007E2E93" w:rsidRDefault="007E2E93" w:rsidP="007E2E93">
      <w:pPr>
        <w:pStyle w:val="Odstavecseseznamem"/>
        <w:numPr>
          <w:ilvl w:val="0"/>
          <w:numId w:val="0"/>
        </w:numPr>
        <w:spacing w:line="240" w:lineRule="auto"/>
        <w:ind w:left="720"/>
      </w:pPr>
    </w:p>
    <w:p w:rsidR="00B90DEA" w:rsidRDefault="00332CEA" w:rsidP="002C166A">
      <w:pPr>
        <w:spacing w:line="240" w:lineRule="auto"/>
        <w:rPr>
          <w:b w:val="0"/>
        </w:rPr>
      </w:pPr>
      <w:r>
        <w:rPr>
          <w:b w:val="0"/>
        </w:rPr>
        <w:t>Město Slavkov u Brna vytvářelo v roce 2016</w:t>
      </w:r>
      <w:r w:rsidR="00B90DEA">
        <w:rPr>
          <w:b w:val="0"/>
        </w:rPr>
        <w:t>:</w:t>
      </w:r>
    </w:p>
    <w:p w:rsidR="00B90DEA" w:rsidRDefault="00B90DEA" w:rsidP="002C166A">
      <w:pPr>
        <w:spacing w:line="240" w:lineRule="auto"/>
        <w:rPr>
          <w:b w:val="0"/>
        </w:rPr>
      </w:pPr>
      <w:r>
        <w:t>S</w:t>
      </w:r>
      <w:r w:rsidR="00332CEA" w:rsidRPr="00B90DEA">
        <w:t>ociální fond</w:t>
      </w:r>
      <w:r w:rsidR="00332CEA">
        <w:rPr>
          <w:b w:val="0"/>
        </w:rPr>
        <w:t xml:space="preserve">, </w:t>
      </w:r>
      <w:r w:rsidR="002E64A2">
        <w:rPr>
          <w:b w:val="0"/>
        </w:rPr>
        <w:t>dle Zásad, č</w:t>
      </w:r>
      <w:r w:rsidR="00332CEA">
        <w:rPr>
          <w:b w:val="0"/>
        </w:rPr>
        <w:t>erpání fondu probíhalo v rámci rozpočtových výdajových položek sociálního fondu, který je součástí rozpočtu města Slavkov u Brna</w:t>
      </w:r>
      <w:r>
        <w:rPr>
          <w:b w:val="0"/>
        </w:rPr>
        <w:t>. Počáteční stav fondu ve výši 155 023,65 Kč a zůstatek na fondu k </w:t>
      </w:r>
      <w:r w:rsidR="006632F1">
        <w:rPr>
          <w:b w:val="0"/>
        </w:rPr>
        <w:t>31. 12. 2016</w:t>
      </w:r>
      <w:r>
        <w:rPr>
          <w:b w:val="0"/>
        </w:rPr>
        <w:t xml:space="preserve"> </w:t>
      </w:r>
      <w:r w:rsidR="00A26051">
        <w:rPr>
          <w:b w:val="0"/>
        </w:rPr>
        <w:t xml:space="preserve">ve výši </w:t>
      </w:r>
      <w:r>
        <w:rPr>
          <w:b w:val="0"/>
        </w:rPr>
        <w:t>176 566,01 Kč.</w:t>
      </w:r>
    </w:p>
    <w:p w:rsidR="00B90DEA" w:rsidRDefault="00B90DEA" w:rsidP="002C166A">
      <w:pPr>
        <w:spacing w:line="240" w:lineRule="auto"/>
        <w:rPr>
          <w:b w:val="0"/>
        </w:rPr>
      </w:pPr>
    </w:p>
    <w:p w:rsidR="00B90DEA" w:rsidRDefault="00B90DEA" w:rsidP="002C166A">
      <w:pPr>
        <w:spacing w:line="240" w:lineRule="auto"/>
        <w:rPr>
          <w:b w:val="0"/>
        </w:rPr>
      </w:pPr>
      <w:r w:rsidRPr="00B90DEA">
        <w:t>Fond rozvoje bydlení</w:t>
      </w:r>
      <w:r>
        <w:t xml:space="preserve"> </w:t>
      </w:r>
      <w:r w:rsidRPr="00B90DEA">
        <w:rPr>
          <w:b w:val="0"/>
        </w:rPr>
        <w:t>dle</w:t>
      </w:r>
      <w:r>
        <w:rPr>
          <w:b w:val="0"/>
        </w:rPr>
        <w:t xml:space="preserve"> Zásad</w:t>
      </w:r>
      <w:r w:rsidR="00A26051">
        <w:rPr>
          <w:b w:val="0"/>
        </w:rPr>
        <w:t>,</w:t>
      </w:r>
      <w:r>
        <w:rPr>
          <w:b w:val="0"/>
        </w:rPr>
        <w:t xml:space="preserve"> </w:t>
      </w:r>
      <w:r w:rsidR="00A26051">
        <w:rPr>
          <w:b w:val="0"/>
        </w:rPr>
        <w:t>s počátečním stavem ve výši 936 646,50 Kč a zůstatkem k </w:t>
      </w:r>
      <w:r w:rsidR="006632F1">
        <w:rPr>
          <w:b w:val="0"/>
        </w:rPr>
        <w:t>31. 12. 2016</w:t>
      </w:r>
      <w:r w:rsidR="00A26051">
        <w:rPr>
          <w:b w:val="0"/>
        </w:rPr>
        <w:t xml:space="preserve"> ve </w:t>
      </w:r>
      <w:r w:rsidR="006632F1">
        <w:rPr>
          <w:b w:val="0"/>
        </w:rPr>
        <w:t>výši 936 740,22</w:t>
      </w:r>
      <w:r w:rsidR="00A26051">
        <w:rPr>
          <w:b w:val="0"/>
        </w:rPr>
        <w:t xml:space="preserve"> Kč.</w:t>
      </w:r>
    </w:p>
    <w:p w:rsidR="00A26051" w:rsidRDefault="00A26051" w:rsidP="002C166A">
      <w:pPr>
        <w:spacing w:line="240" w:lineRule="auto"/>
        <w:rPr>
          <w:b w:val="0"/>
        </w:rPr>
      </w:pPr>
    </w:p>
    <w:p w:rsidR="00A26051" w:rsidRDefault="00A26051" w:rsidP="002C166A">
      <w:pPr>
        <w:spacing w:line="240" w:lineRule="auto"/>
        <w:rPr>
          <w:b w:val="0"/>
        </w:rPr>
      </w:pPr>
      <w:r w:rsidRPr="00A26051">
        <w:t xml:space="preserve">Fond </w:t>
      </w:r>
      <w:r w:rsidR="00F70498">
        <w:t xml:space="preserve">rezerv a </w:t>
      </w:r>
      <w:r w:rsidRPr="00A26051">
        <w:t xml:space="preserve">rozvoje </w:t>
      </w:r>
      <w:r w:rsidRPr="00A26051">
        <w:rPr>
          <w:b w:val="0"/>
        </w:rPr>
        <w:t>dle Zásad</w:t>
      </w:r>
      <w:r>
        <w:rPr>
          <w:b w:val="0"/>
        </w:rPr>
        <w:t>, s počátečním stavem ve výši 19 097 435,29 Kč a konečným stavem k </w:t>
      </w:r>
      <w:r w:rsidR="006632F1">
        <w:rPr>
          <w:b w:val="0"/>
        </w:rPr>
        <w:t>31. 12. 2016</w:t>
      </w:r>
      <w:r>
        <w:rPr>
          <w:b w:val="0"/>
        </w:rPr>
        <w:t xml:space="preserve"> ve výši 18 769 259,68 Kč.</w:t>
      </w:r>
    </w:p>
    <w:p w:rsidR="00A26051" w:rsidRDefault="00A26051" w:rsidP="002C166A">
      <w:pPr>
        <w:spacing w:line="240" w:lineRule="auto"/>
        <w:rPr>
          <w:b w:val="0"/>
        </w:rPr>
      </w:pPr>
    </w:p>
    <w:p w:rsidR="00A26051" w:rsidRDefault="00A26051" w:rsidP="002C166A">
      <w:pPr>
        <w:spacing w:line="240" w:lineRule="auto"/>
        <w:rPr>
          <w:b w:val="0"/>
        </w:rPr>
      </w:pPr>
      <w:r w:rsidRPr="00A26051">
        <w:lastRenderedPageBreak/>
        <w:t>Fond bydlení</w:t>
      </w:r>
      <w:r>
        <w:t xml:space="preserve"> dle </w:t>
      </w:r>
      <w:r w:rsidRPr="00A26051">
        <w:rPr>
          <w:b w:val="0"/>
        </w:rPr>
        <w:t>Zásad,</w:t>
      </w:r>
      <w:r>
        <w:t xml:space="preserve"> </w:t>
      </w:r>
      <w:r w:rsidRPr="00A26051">
        <w:rPr>
          <w:b w:val="0"/>
        </w:rPr>
        <w:t>s</w:t>
      </w:r>
      <w:r>
        <w:rPr>
          <w:b w:val="0"/>
        </w:rPr>
        <w:t> počátečním stavem ve výši 4 993 508,98 Kč a zůstatkem k </w:t>
      </w:r>
      <w:r w:rsidR="006632F1">
        <w:rPr>
          <w:b w:val="0"/>
        </w:rPr>
        <w:t>31. 12. 2016</w:t>
      </w:r>
      <w:r>
        <w:rPr>
          <w:b w:val="0"/>
        </w:rPr>
        <w:t xml:space="preserve"> ve výši 4 721 431,99 Kč.</w:t>
      </w:r>
    </w:p>
    <w:p w:rsidR="00A26051" w:rsidRDefault="00A26051" w:rsidP="002C166A">
      <w:pPr>
        <w:spacing w:line="240" w:lineRule="auto"/>
        <w:rPr>
          <w:b w:val="0"/>
        </w:rPr>
      </w:pPr>
      <w:r>
        <w:rPr>
          <w:b w:val="0"/>
        </w:rPr>
        <w:t>Podrobněji v příloze č. 1 – Závěrečný účet.</w:t>
      </w:r>
    </w:p>
    <w:p w:rsidR="00B90230" w:rsidRDefault="00B90230" w:rsidP="002C166A">
      <w:pPr>
        <w:spacing w:line="240" w:lineRule="auto"/>
        <w:rPr>
          <w:b w:val="0"/>
        </w:rPr>
      </w:pPr>
    </w:p>
    <w:p w:rsidR="00A26051" w:rsidRDefault="00A26051" w:rsidP="00A26051">
      <w:pPr>
        <w:pStyle w:val="Odstavecseseznamem"/>
        <w:numPr>
          <w:ilvl w:val="0"/>
          <w:numId w:val="10"/>
        </w:numPr>
        <w:spacing w:line="240" w:lineRule="auto"/>
      </w:pPr>
      <w:r w:rsidRPr="00A26051">
        <w:t>Vyúčtování finančních vztahů ke státnímu rozpočtu a ostatním rozpočtům veřejné úrovně</w:t>
      </w:r>
    </w:p>
    <w:p w:rsidR="00A26051" w:rsidRDefault="00A26051" w:rsidP="00A26051">
      <w:pPr>
        <w:pStyle w:val="Odstavecseseznamem"/>
        <w:numPr>
          <w:ilvl w:val="0"/>
          <w:numId w:val="0"/>
        </w:numPr>
        <w:spacing w:line="240" w:lineRule="auto"/>
        <w:ind w:left="360"/>
      </w:pPr>
    </w:p>
    <w:p w:rsidR="00A26051" w:rsidRDefault="00A26051" w:rsidP="00B90230">
      <w:pPr>
        <w:pStyle w:val="Odstavecseseznamem"/>
        <w:numPr>
          <w:ilvl w:val="0"/>
          <w:numId w:val="0"/>
        </w:numPr>
        <w:spacing w:line="240" w:lineRule="auto"/>
      </w:pPr>
      <w:r w:rsidRPr="00A26051">
        <w:t>Přijaté dotace</w:t>
      </w:r>
    </w:p>
    <w:p w:rsidR="00A26051" w:rsidRDefault="00D533E6" w:rsidP="00B90230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Přijaté transfery (d</w:t>
      </w:r>
      <w:r w:rsidR="00A26051" w:rsidRPr="00A26051">
        <w:rPr>
          <w:b w:val="0"/>
        </w:rPr>
        <w:t>otace</w:t>
      </w:r>
      <w:r>
        <w:rPr>
          <w:b w:val="0"/>
        </w:rPr>
        <w:t>)</w:t>
      </w:r>
      <w:r w:rsidR="00A26051" w:rsidRPr="00A26051">
        <w:rPr>
          <w:b w:val="0"/>
        </w:rPr>
        <w:t xml:space="preserve"> do rozpočtu města Slavkov u Brna</w:t>
      </w:r>
      <w:r>
        <w:rPr>
          <w:b w:val="0"/>
        </w:rPr>
        <w:t xml:space="preserve"> v roce 2016</w:t>
      </w:r>
      <w:r w:rsidR="00A26051">
        <w:rPr>
          <w:b w:val="0"/>
        </w:rPr>
        <w:t xml:space="preserve"> </w:t>
      </w:r>
      <w:r>
        <w:rPr>
          <w:b w:val="0"/>
        </w:rPr>
        <w:t xml:space="preserve">ze SR, SF, </w:t>
      </w:r>
      <w:r w:rsidR="006632F1">
        <w:rPr>
          <w:b w:val="0"/>
        </w:rPr>
        <w:t>EU byly</w:t>
      </w:r>
      <w:r>
        <w:rPr>
          <w:b w:val="0"/>
        </w:rPr>
        <w:t xml:space="preserve"> poskytnuty </w:t>
      </w:r>
      <w:r w:rsidR="00A26051">
        <w:rPr>
          <w:b w:val="0"/>
        </w:rPr>
        <w:t xml:space="preserve">celkem </w:t>
      </w:r>
      <w:r>
        <w:rPr>
          <w:b w:val="0"/>
        </w:rPr>
        <w:t xml:space="preserve">ve výši 22 360 940 Kč. Dotace z JMK byly poskytnuty ve výši 7 523 540 Kč. </w:t>
      </w:r>
    </w:p>
    <w:p w:rsidR="00D533E6" w:rsidRDefault="00D533E6" w:rsidP="00A26051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D533E6" w:rsidRDefault="00D533E6" w:rsidP="00B90230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 xml:space="preserve">Ukončené dotační projekty byly řádně vyúčtovány, v řádném termínu proběhla vratka ve výši 422 253, 17 Kč.  </w:t>
      </w:r>
    </w:p>
    <w:p w:rsidR="00D533E6" w:rsidRDefault="00D533E6" w:rsidP="00A26051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D533E6" w:rsidRDefault="00D533E6" w:rsidP="00B90230">
      <w:pPr>
        <w:pStyle w:val="Odstavecseseznamem"/>
        <w:numPr>
          <w:ilvl w:val="0"/>
          <w:numId w:val="0"/>
        </w:numPr>
        <w:spacing w:line="240" w:lineRule="auto"/>
      </w:pPr>
      <w:r w:rsidRPr="00D533E6">
        <w:t>Poskytnuté dotace</w:t>
      </w:r>
    </w:p>
    <w:p w:rsidR="00D533E6" w:rsidRDefault="00D533E6" w:rsidP="00B90230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 w:rsidRPr="00D533E6">
        <w:rPr>
          <w:b w:val="0"/>
        </w:rPr>
        <w:t>V roce 2016</w:t>
      </w:r>
      <w:r>
        <w:rPr>
          <w:b w:val="0"/>
        </w:rPr>
        <w:t xml:space="preserve"> byly poskytnuty dotace v celkové výši 1 300 000 Kč. </w:t>
      </w:r>
    </w:p>
    <w:p w:rsidR="00D533E6" w:rsidRDefault="00D533E6" w:rsidP="00A26051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D533E6" w:rsidRDefault="00D533E6" w:rsidP="00B90230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Podrobněji v příloze č. 1 – Závěrečný účet.</w:t>
      </w:r>
    </w:p>
    <w:p w:rsidR="00D533E6" w:rsidRDefault="00D533E6" w:rsidP="00A26051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D533E6" w:rsidRDefault="00D533E6" w:rsidP="00D533E6">
      <w:pPr>
        <w:pStyle w:val="Odstavecseseznamem"/>
        <w:numPr>
          <w:ilvl w:val="0"/>
          <w:numId w:val="10"/>
        </w:numPr>
        <w:spacing w:line="240" w:lineRule="auto"/>
      </w:pPr>
      <w:r w:rsidRPr="00D533E6">
        <w:t>Hospodářská činnost města</w:t>
      </w:r>
    </w:p>
    <w:p w:rsidR="00C073D0" w:rsidRDefault="00C073D0" w:rsidP="00C073D0">
      <w:pPr>
        <w:spacing w:line="240" w:lineRule="auto"/>
      </w:pPr>
    </w:p>
    <w:p w:rsidR="00770E78" w:rsidRDefault="00770E78" w:rsidP="00770E78">
      <w:pPr>
        <w:spacing w:line="240" w:lineRule="auto"/>
        <w:rPr>
          <w:b w:val="0"/>
        </w:rPr>
      </w:pPr>
      <w:r>
        <w:rPr>
          <w:b w:val="0"/>
        </w:rPr>
        <w:t xml:space="preserve">Město Slavkov u Brna vykonávalo v roce 2016 hospodářskou </w:t>
      </w:r>
      <w:r w:rsidR="006632F1">
        <w:rPr>
          <w:b w:val="0"/>
        </w:rPr>
        <w:t>činnost v oblasti</w:t>
      </w:r>
      <w:r>
        <w:rPr>
          <w:b w:val="0"/>
        </w:rPr>
        <w:t xml:space="preserve"> bytového a tepelného hospodářství</w:t>
      </w:r>
      <w:r w:rsidR="00CB0F97">
        <w:rPr>
          <w:b w:val="0"/>
        </w:rPr>
        <w:t xml:space="preserve"> (dále jen BTH)</w:t>
      </w:r>
      <w:r>
        <w:rPr>
          <w:b w:val="0"/>
        </w:rPr>
        <w:t>.</w:t>
      </w:r>
    </w:p>
    <w:p w:rsidR="00770E78" w:rsidRDefault="00770E78" w:rsidP="00770E78">
      <w:pPr>
        <w:spacing w:line="240" w:lineRule="auto"/>
        <w:rPr>
          <w:b w:val="0"/>
        </w:rPr>
      </w:pPr>
    </w:p>
    <w:p w:rsidR="00170CA6" w:rsidRPr="001B4F10" w:rsidRDefault="00770E78" w:rsidP="00170CA6">
      <w:pPr>
        <w:pStyle w:val="Odstavecseseznamem"/>
        <w:numPr>
          <w:ilvl w:val="0"/>
          <w:numId w:val="0"/>
        </w:numPr>
        <w:spacing w:line="240" w:lineRule="auto"/>
        <w:rPr>
          <w:rFonts w:asciiTheme="majorHAnsi" w:hAnsiTheme="majorHAnsi"/>
          <w:b w:val="0"/>
          <w:szCs w:val="22"/>
        </w:rPr>
      </w:pPr>
      <w:r>
        <w:rPr>
          <w:b w:val="0"/>
        </w:rPr>
        <w:t xml:space="preserve">Celkové výnosy v roce 2016 byly ve výši 22 965 473,64 Kč a náklady ve </w:t>
      </w:r>
      <w:r w:rsidR="006632F1">
        <w:rPr>
          <w:b w:val="0"/>
        </w:rPr>
        <w:t>výši 14 349 020,32</w:t>
      </w:r>
      <w:r>
        <w:rPr>
          <w:b w:val="0"/>
        </w:rPr>
        <w:t xml:space="preserve"> Kč. Hospodářský výsledek za účetní rok 2016 </w:t>
      </w:r>
      <w:r w:rsidR="00170CA6">
        <w:rPr>
          <w:b w:val="0"/>
        </w:rPr>
        <w:t xml:space="preserve">před zdaněním ve výši 8 616 453,32 Kč, daň z příjmů právnických osob za obce ve výši 2 558 920 Kč a hospodářský výsledek po zdanění </w:t>
      </w:r>
      <w:r>
        <w:rPr>
          <w:b w:val="0"/>
        </w:rPr>
        <w:t xml:space="preserve">ve výši 6 057 533,32 Kč. </w:t>
      </w:r>
      <w:r w:rsidR="00170CA6">
        <w:rPr>
          <w:b w:val="0"/>
        </w:rPr>
        <w:t xml:space="preserve"> </w:t>
      </w:r>
      <w:r w:rsidR="00170CA6">
        <w:rPr>
          <w:rFonts w:asciiTheme="majorHAnsi" w:hAnsiTheme="majorHAnsi"/>
          <w:b w:val="0"/>
          <w:szCs w:val="22"/>
        </w:rPr>
        <w:t>Dne 20. 3. 2017 na 16. schůzi ZM byl schválen hospodářský výsledek a jeho rozdělení do fondu bytového a tepelného hospodaření.</w:t>
      </w:r>
    </w:p>
    <w:p w:rsidR="00170CA6" w:rsidRPr="001B4F10" w:rsidRDefault="00170CA6" w:rsidP="00170CA6">
      <w:pPr>
        <w:spacing w:line="240" w:lineRule="auto"/>
        <w:rPr>
          <w:rFonts w:asciiTheme="majorHAnsi" w:hAnsiTheme="majorHAnsi"/>
          <w:b w:val="0"/>
          <w:szCs w:val="22"/>
        </w:rPr>
      </w:pPr>
    </w:p>
    <w:p w:rsidR="00770E78" w:rsidRDefault="00770E78" w:rsidP="00770E78">
      <w:pPr>
        <w:spacing w:line="240" w:lineRule="auto"/>
        <w:rPr>
          <w:b w:val="0"/>
        </w:rPr>
      </w:pPr>
    </w:p>
    <w:p w:rsidR="00C073D0" w:rsidRDefault="00C073D0" w:rsidP="00770E78">
      <w:pPr>
        <w:spacing w:line="240" w:lineRule="auto"/>
        <w:rPr>
          <w:b w:val="0"/>
        </w:rPr>
      </w:pPr>
    </w:p>
    <w:p w:rsidR="00C073D0" w:rsidRDefault="00C073D0" w:rsidP="00C073D0">
      <w:pPr>
        <w:rPr>
          <w:rFonts w:asciiTheme="majorHAnsi" w:hAnsiTheme="majorHAnsi" w:cs="Calibri"/>
          <w:szCs w:val="22"/>
        </w:rPr>
      </w:pPr>
      <w:r w:rsidRPr="00C073D0">
        <w:rPr>
          <w:rFonts w:asciiTheme="majorHAnsi" w:hAnsiTheme="majorHAnsi" w:cs="Calibri"/>
          <w:szCs w:val="22"/>
        </w:rPr>
        <w:t>Výnosy</w:t>
      </w:r>
    </w:p>
    <w:p w:rsidR="00C073D0" w:rsidRPr="00C073D0" w:rsidRDefault="00C073D0" w:rsidP="00C073D0">
      <w:pPr>
        <w:rPr>
          <w:rFonts w:asciiTheme="majorHAnsi" w:hAnsiTheme="majorHAnsi" w:cs="Calibri"/>
          <w:szCs w:val="22"/>
        </w:rPr>
      </w:pPr>
    </w:p>
    <w:p w:rsidR="00C073D0" w:rsidRPr="00C073D0" w:rsidRDefault="00C073D0" w:rsidP="00C073D0">
      <w:pPr>
        <w:rPr>
          <w:rFonts w:asciiTheme="majorHAnsi" w:hAnsiTheme="majorHAnsi" w:cs="Calibri"/>
          <w:b w:val="0"/>
          <w:szCs w:val="22"/>
        </w:rPr>
      </w:pPr>
      <w:r w:rsidRPr="00C073D0">
        <w:rPr>
          <w:rFonts w:asciiTheme="majorHAnsi" w:hAnsiTheme="majorHAnsi" w:cs="Calibri"/>
          <w:b w:val="0"/>
          <w:szCs w:val="22"/>
        </w:rPr>
        <w:t>Výnosy z pronájmů bytů i nebytových prostor - včetně Polikliniky jsou realizovány na základě uzavřených nájemních smluv, čemuž odpovídá výše plnění 104,97 %  ve vztahu k hodnocenému období. Nájemné bylo vybráno v celkové výši 14 743174,99 Kč. Co se týká výnosů z pronájmu pozemků, dochází k plnění v souladu s uzavřenými nájemními smlouvami, kde je stanoven termín úhrad pololetní nebo roční, plnění je zde 116,01 %, tj. výnos ve výši 1 276 110,04 Kč. Plnění u prodeje tepla je dáno topnou sezónou a odpovídá hodnocenému období.</w:t>
      </w:r>
    </w:p>
    <w:p w:rsidR="00C073D0" w:rsidRPr="00AC62F8" w:rsidRDefault="00C073D0" w:rsidP="00C073D0">
      <w:pPr>
        <w:rPr>
          <w:rFonts w:ascii="Calibri" w:hAnsi="Calibri" w:cs="Calibri"/>
          <w:szCs w:val="22"/>
        </w:rPr>
      </w:pPr>
    </w:p>
    <w:p w:rsidR="00C073D0" w:rsidRPr="00C073D0" w:rsidRDefault="00C073D0" w:rsidP="00C073D0">
      <w:pPr>
        <w:rPr>
          <w:rFonts w:asciiTheme="majorHAnsi" w:hAnsiTheme="majorHAnsi" w:cs="Calibri"/>
          <w:bCs/>
          <w:szCs w:val="22"/>
        </w:rPr>
      </w:pPr>
      <w:r w:rsidRPr="00C073D0">
        <w:rPr>
          <w:rFonts w:asciiTheme="majorHAnsi" w:hAnsiTheme="majorHAnsi" w:cs="Calibri"/>
          <w:bCs/>
          <w:szCs w:val="22"/>
        </w:rPr>
        <w:t>Náklady</w:t>
      </w:r>
    </w:p>
    <w:p w:rsidR="00C073D0" w:rsidRPr="00C073D0" w:rsidRDefault="00C073D0" w:rsidP="00C073D0">
      <w:pPr>
        <w:rPr>
          <w:rFonts w:asciiTheme="majorHAnsi" w:hAnsiTheme="majorHAnsi" w:cs="Calibri"/>
          <w:szCs w:val="22"/>
        </w:rPr>
      </w:pPr>
    </w:p>
    <w:p w:rsidR="00C073D0" w:rsidRPr="00C073D0" w:rsidRDefault="00C073D0" w:rsidP="00C073D0">
      <w:pPr>
        <w:rPr>
          <w:rFonts w:asciiTheme="majorHAnsi" w:hAnsiTheme="majorHAnsi" w:cs="Calibri"/>
          <w:b w:val="0"/>
          <w:szCs w:val="22"/>
        </w:rPr>
      </w:pPr>
      <w:r w:rsidRPr="00C073D0">
        <w:rPr>
          <w:rFonts w:asciiTheme="majorHAnsi" w:hAnsiTheme="majorHAnsi" w:cs="Calibri"/>
          <w:b w:val="0"/>
          <w:szCs w:val="22"/>
        </w:rPr>
        <w:t>Čerpání nákladů jako celku plně odpovídá hodnocenému období  (83,19 %), což vypovídá o celkově uspořených nákladech.</w:t>
      </w:r>
    </w:p>
    <w:p w:rsidR="00C073D0" w:rsidRPr="00C073D0" w:rsidRDefault="00C073D0" w:rsidP="00C073D0">
      <w:pPr>
        <w:rPr>
          <w:rFonts w:asciiTheme="majorHAnsi" w:hAnsiTheme="majorHAnsi" w:cs="Calibri"/>
          <w:b w:val="0"/>
          <w:szCs w:val="22"/>
        </w:rPr>
      </w:pPr>
    </w:p>
    <w:p w:rsidR="00C073D0" w:rsidRPr="00C073D0" w:rsidRDefault="00C073D0" w:rsidP="00C073D0">
      <w:pPr>
        <w:rPr>
          <w:rFonts w:asciiTheme="majorHAnsi" w:hAnsiTheme="majorHAnsi"/>
          <w:b w:val="0"/>
          <w:szCs w:val="22"/>
        </w:rPr>
      </w:pPr>
      <w:r w:rsidRPr="00C073D0">
        <w:rPr>
          <w:rFonts w:asciiTheme="majorHAnsi" w:hAnsiTheme="majorHAnsi" w:cs="Calibri"/>
          <w:szCs w:val="22"/>
        </w:rPr>
        <w:t>Bytové domy</w:t>
      </w:r>
      <w:r w:rsidRPr="00C073D0">
        <w:rPr>
          <w:rFonts w:asciiTheme="majorHAnsi" w:hAnsiTheme="majorHAnsi" w:cs="Calibri"/>
          <w:b w:val="0"/>
          <w:szCs w:val="22"/>
        </w:rPr>
        <w:t xml:space="preserve"> – čerpání nákladů bytových domů je v souladu s plánovanými náklady v oblasti oprav, udržování, služeb i ostatních nákladů. </w:t>
      </w:r>
    </w:p>
    <w:p w:rsidR="00C073D0" w:rsidRPr="00C073D0" w:rsidRDefault="00C073D0" w:rsidP="00C073D0">
      <w:pPr>
        <w:rPr>
          <w:rFonts w:asciiTheme="majorHAnsi" w:hAnsiTheme="majorHAnsi" w:cs="Calibri"/>
          <w:b w:val="0"/>
          <w:szCs w:val="22"/>
        </w:rPr>
      </w:pPr>
    </w:p>
    <w:p w:rsidR="00C073D0" w:rsidRPr="00C073D0" w:rsidRDefault="00C073D0" w:rsidP="00C073D0">
      <w:pPr>
        <w:rPr>
          <w:rFonts w:asciiTheme="majorHAnsi" w:hAnsiTheme="majorHAnsi" w:cs="Calibri"/>
          <w:b w:val="0"/>
          <w:szCs w:val="22"/>
        </w:rPr>
      </w:pPr>
      <w:r w:rsidRPr="00C073D0">
        <w:rPr>
          <w:rFonts w:asciiTheme="majorHAnsi" w:hAnsiTheme="majorHAnsi" w:cs="Calibri"/>
          <w:szCs w:val="22"/>
        </w:rPr>
        <w:t>Nebytové prostory</w:t>
      </w:r>
      <w:r w:rsidRPr="00C073D0">
        <w:rPr>
          <w:rFonts w:asciiTheme="majorHAnsi" w:hAnsiTheme="majorHAnsi" w:cs="Calibri"/>
          <w:b w:val="0"/>
          <w:szCs w:val="22"/>
        </w:rPr>
        <w:t xml:space="preserve">  - celkové čerpání nákladů na nebytové prostory jsou ve výši 83,02 %. Všechny plánované položky jsou v souladu s plánovanými náklady. </w:t>
      </w:r>
    </w:p>
    <w:p w:rsidR="00C073D0" w:rsidRPr="00C073D0" w:rsidRDefault="00C073D0" w:rsidP="00C073D0">
      <w:pPr>
        <w:rPr>
          <w:rFonts w:asciiTheme="majorHAnsi" w:hAnsiTheme="majorHAnsi" w:cs="Calibri"/>
          <w:b w:val="0"/>
          <w:szCs w:val="22"/>
        </w:rPr>
      </w:pPr>
    </w:p>
    <w:p w:rsidR="00C073D0" w:rsidRPr="00C073D0" w:rsidRDefault="00C073D0" w:rsidP="00C073D0">
      <w:pPr>
        <w:rPr>
          <w:rFonts w:asciiTheme="majorHAnsi" w:hAnsiTheme="majorHAnsi" w:cs="Calibri"/>
          <w:b w:val="0"/>
          <w:szCs w:val="22"/>
        </w:rPr>
      </w:pPr>
      <w:r w:rsidRPr="00C073D0">
        <w:rPr>
          <w:rFonts w:asciiTheme="majorHAnsi" w:hAnsiTheme="majorHAnsi" w:cs="Calibri"/>
          <w:szCs w:val="22"/>
        </w:rPr>
        <w:lastRenderedPageBreak/>
        <w:t>Správa bytového, nebytového a tepelného hospodářství</w:t>
      </w:r>
      <w:r w:rsidRPr="00C073D0">
        <w:rPr>
          <w:rFonts w:asciiTheme="majorHAnsi" w:hAnsiTheme="majorHAnsi" w:cs="Calibri"/>
          <w:b w:val="0"/>
          <w:szCs w:val="22"/>
        </w:rPr>
        <w:t xml:space="preserve"> - jedná se o náklady související se správou uvedených nemovitostí, resp. výrobou a dodávkami tepelné energie. Tyto jsou dle poměrného klíče rozúčtovány jednotlivým činnostem. </w:t>
      </w:r>
    </w:p>
    <w:p w:rsidR="00C073D0" w:rsidRPr="00C073D0" w:rsidRDefault="00C073D0" w:rsidP="00C073D0">
      <w:pPr>
        <w:rPr>
          <w:rFonts w:asciiTheme="majorHAnsi" w:hAnsiTheme="majorHAnsi" w:cs="Calibri"/>
          <w:b w:val="0"/>
          <w:szCs w:val="22"/>
        </w:rPr>
      </w:pPr>
    </w:p>
    <w:p w:rsidR="00B82FE3" w:rsidRPr="00C073D0" w:rsidRDefault="00C073D0" w:rsidP="00C073D0">
      <w:pPr>
        <w:rPr>
          <w:rFonts w:asciiTheme="majorHAnsi" w:hAnsiTheme="majorHAnsi" w:cs="Calibri"/>
          <w:szCs w:val="22"/>
        </w:rPr>
      </w:pPr>
      <w:r w:rsidRPr="00C073D0">
        <w:rPr>
          <w:rFonts w:asciiTheme="majorHAnsi" w:hAnsiTheme="majorHAnsi" w:cs="Calibri"/>
          <w:szCs w:val="22"/>
        </w:rPr>
        <w:t xml:space="preserve">Kotelny </w:t>
      </w:r>
    </w:p>
    <w:p w:rsidR="00C073D0" w:rsidRPr="00C073D0" w:rsidRDefault="00C073D0" w:rsidP="00B82FE3">
      <w:pPr>
        <w:spacing w:line="240" w:lineRule="auto"/>
        <w:rPr>
          <w:rFonts w:asciiTheme="majorHAnsi" w:hAnsiTheme="majorHAnsi" w:cs="Calibri"/>
          <w:b w:val="0"/>
          <w:szCs w:val="22"/>
        </w:rPr>
      </w:pPr>
      <w:r w:rsidRPr="00C073D0">
        <w:rPr>
          <w:rFonts w:asciiTheme="majorHAnsi" w:hAnsiTheme="majorHAnsi" w:cs="Calibri"/>
          <w:szCs w:val="22"/>
        </w:rPr>
        <w:t xml:space="preserve">Kotelna Zlatá Hora </w:t>
      </w:r>
      <w:r w:rsidR="00D263BB" w:rsidRPr="00D263BB">
        <w:rPr>
          <w:rFonts w:asciiTheme="majorHAnsi" w:hAnsiTheme="majorHAnsi" w:cs="Calibri"/>
          <w:b w:val="0"/>
          <w:szCs w:val="22"/>
        </w:rPr>
        <w:t>–</w:t>
      </w:r>
      <w:r w:rsidRPr="00C073D0">
        <w:rPr>
          <w:rFonts w:asciiTheme="majorHAnsi" w:hAnsiTheme="majorHAnsi" w:cs="Calibri"/>
          <w:b w:val="0"/>
          <w:szCs w:val="22"/>
        </w:rPr>
        <w:t xml:space="preserve"> plnění odpovídá hodnocenému období. Více peněžních prostředků</w:t>
      </w:r>
      <w:r>
        <w:rPr>
          <w:rFonts w:asciiTheme="majorHAnsi" w:hAnsiTheme="majorHAnsi" w:cs="Calibri"/>
          <w:b w:val="0"/>
          <w:szCs w:val="22"/>
        </w:rPr>
        <w:t>,</w:t>
      </w:r>
      <w:r w:rsidRPr="00C073D0">
        <w:rPr>
          <w:rFonts w:asciiTheme="majorHAnsi" w:hAnsiTheme="majorHAnsi" w:cs="Calibri"/>
          <w:b w:val="0"/>
          <w:szCs w:val="22"/>
        </w:rPr>
        <w:t xml:space="preserve"> </w:t>
      </w:r>
      <w:r w:rsidR="00B82FE3" w:rsidRPr="00C073D0">
        <w:rPr>
          <w:rFonts w:asciiTheme="majorHAnsi" w:hAnsiTheme="majorHAnsi" w:cs="Calibri"/>
          <w:b w:val="0"/>
          <w:szCs w:val="22"/>
        </w:rPr>
        <w:t xml:space="preserve">než </w:t>
      </w:r>
      <w:r w:rsidR="00B82FE3">
        <w:rPr>
          <w:rFonts w:asciiTheme="majorHAnsi" w:hAnsiTheme="majorHAnsi" w:cs="Calibri"/>
          <w:b w:val="0"/>
          <w:szCs w:val="22"/>
        </w:rPr>
        <w:t>bylo</w:t>
      </w:r>
      <w:r w:rsidRPr="00C073D0">
        <w:rPr>
          <w:rFonts w:asciiTheme="majorHAnsi" w:hAnsiTheme="majorHAnsi" w:cs="Calibri"/>
          <w:b w:val="0"/>
          <w:szCs w:val="22"/>
        </w:rPr>
        <w:t xml:space="preserve"> </w:t>
      </w:r>
      <w:r>
        <w:rPr>
          <w:rFonts w:asciiTheme="majorHAnsi" w:hAnsiTheme="majorHAnsi" w:cs="Calibri"/>
          <w:b w:val="0"/>
          <w:szCs w:val="22"/>
        </w:rPr>
        <w:t>na</w:t>
      </w:r>
      <w:r w:rsidRPr="00C073D0">
        <w:rPr>
          <w:rFonts w:asciiTheme="majorHAnsi" w:hAnsiTheme="majorHAnsi" w:cs="Calibri"/>
          <w:b w:val="0"/>
          <w:szCs w:val="22"/>
        </w:rPr>
        <w:t>plánováno</w:t>
      </w:r>
      <w:r>
        <w:rPr>
          <w:rFonts w:asciiTheme="majorHAnsi" w:hAnsiTheme="majorHAnsi" w:cs="Calibri"/>
          <w:b w:val="0"/>
          <w:szCs w:val="22"/>
        </w:rPr>
        <w:t>,</w:t>
      </w:r>
      <w:r w:rsidRPr="00C073D0">
        <w:rPr>
          <w:rFonts w:asciiTheme="majorHAnsi" w:hAnsiTheme="majorHAnsi" w:cs="Calibri"/>
          <w:b w:val="0"/>
          <w:szCs w:val="22"/>
        </w:rPr>
        <w:t xml:space="preserve"> bylo použito na revize zařízení, které jsou dány ze zákona.</w:t>
      </w:r>
    </w:p>
    <w:p w:rsidR="00C073D0" w:rsidRPr="00C073D0" w:rsidRDefault="00C073D0" w:rsidP="00B82FE3">
      <w:pPr>
        <w:spacing w:line="240" w:lineRule="auto"/>
        <w:rPr>
          <w:rFonts w:asciiTheme="majorHAnsi" w:hAnsiTheme="majorHAnsi" w:cs="Calibri"/>
          <w:b w:val="0"/>
          <w:szCs w:val="22"/>
        </w:rPr>
      </w:pPr>
      <w:r w:rsidRPr="00C073D0">
        <w:rPr>
          <w:rFonts w:asciiTheme="majorHAnsi" w:hAnsiTheme="majorHAnsi" w:cs="Calibri"/>
          <w:szCs w:val="22"/>
        </w:rPr>
        <w:t xml:space="preserve">Kotelna DPS Polní 1444 </w:t>
      </w:r>
      <w:r w:rsidRPr="00C073D0">
        <w:rPr>
          <w:rFonts w:asciiTheme="majorHAnsi" w:hAnsiTheme="majorHAnsi" w:cs="Calibri"/>
          <w:b w:val="0"/>
          <w:szCs w:val="22"/>
        </w:rPr>
        <w:t xml:space="preserve">- zařízení je po rekonstrukci, čemuž odpovídá i plnění. </w:t>
      </w:r>
    </w:p>
    <w:p w:rsidR="00B82FE3" w:rsidRDefault="00D263BB" w:rsidP="00B82FE3">
      <w:pPr>
        <w:spacing w:line="240" w:lineRule="auto"/>
        <w:rPr>
          <w:rFonts w:asciiTheme="majorHAnsi" w:hAnsiTheme="majorHAnsi" w:cs="Calibri"/>
          <w:b w:val="0"/>
          <w:szCs w:val="22"/>
        </w:rPr>
      </w:pPr>
      <w:r>
        <w:rPr>
          <w:rFonts w:asciiTheme="majorHAnsi" w:hAnsiTheme="majorHAnsi" w:cs="Calibri"/>
          <w:szCs w:val="22"/>
        </w:rPr>
        <w:t xml:space="preserve">Kotelna poliklinika </w:t>
      </w:r>
      <w:r w:rsidR="00C073D0" w:rsidRPr="00C073D0">
        <w:rPr>
          <w:rFonts w:asciiTheme="majorHAnsi" w:hAnsiTheme="majorHAnsi" w:cs="Calibri"/>
          <w:b w:val="0"/>
          <w:szCs w:val="22"/>
        </w:rPr>
        <w:t>– plnění odpovídá hodnocenému o</w:t>
      </w:r>
      <w:r w:rsidR="00C073D0">
        <w:rPr>
          <w:rFonts w:asciiTheme="majorHAnsi" w:hAnsiTheme="majorHAnsi" w:cs="Calibri"/>
          <w:b w:val="0"/>
          <w:szCs w:val="22"/>
        </w:rPr>
        <w:t xml:space="preserve">bdobí. Celkové zařízení </w:t>
      </w:r>
      <w:r w:rsidR="00B82FE3">
        <w:rPr>
          <w:rFonts w:asciiTheme="majorHAnsi" w:hAnsiTheme="majorHAnsi" w:cs="Calibri"/>
          <w:b w:val="0"/>
          <w:szCs w:val="22"/>
        </w:rPr>
        <w:t>kotelny poliklinika</w:t>
      </w:r>
      <w:r w:rsidR="00C073D0" w:rsidRPr="00C073D0">
        <w:rPr>
          <w:rFonts w:asciiTheme="majorHAnsi" w:hAnsiTheme="majorHAnsi" w:cs="Calibri"/>
          <w:b w:val="0"/>
          <w:szCs w:val="22"/>
        </w:rPr>
        <w:t xml:space="preserve"> se pohybuje na hranici životnosti. </w:t>
      </w:r>
    </w:p>
    <w:p w:rsidR="00C073D0" w:rsidRPr="00C073D0" w:rsidRDefault="00C073D0" w:rsidP="00B82FE3">
      <w:pPr>
        <w:spacing w:line="240" w:lineRule="auto"/>
        <w:rPr>
          <w:rFonts w:asciiTheme="majorHAnsi" w:hAnsiTheme="majorHAnsi" w:cs="Calibri"/>
          <w:szCs w:val="22"/>
        </w:rPr>
      </w:pPr>
      <w:r w:rsidRPr="00C073D0">
        <w:rPr>
          <w:rFonts w:asciiTheme="majorHAnsi" w:hAnsiTheme="majorHAnsi" w:cs="Calibri"/>
          <w:szCs w:val="22"/>
        </w:rPr>
        <w:t xml:space="preserve">Kotelna Nádražní </w:t>
      </w:r>
      <w:r w:rsidR="00D263BB" w:rsidRPr="00C073D0">
        <w:rPr>
          <w:rFonts w:asciiTheme="majorHAnsi" w:hAnsiTheme="majorHAnsi" w:cs="Calibri"/>
          <w:b w:val="0"/>
          <w:szCs w:val="22"/>
        </w:rPr>
        <w:t>–</w:t>
      </w:r>
      <w:r w:rsidR="00B82FE3" w:rsidRPr="00B82FE3">
        <w:rPr>
          <w:rFonts w:asciiTheme="majorHAnsi" w:hAnsiTheme="majorHAnsi" w:cs="Calibri"/>
          <w:b w:val="0"/>
          <w:szCs w:val="22"/>
        </w:rPr>
        <w:t xml:space="preserve"> </w:t>
      </w:r>
      <w:r w:rsidRPr="00B82FE3">
        <w:rPr>
          <w:rFonts w:asciiTheme="majorHAnsi" w:hAnsiTheme="majorHAnsi" w:cs="Calibri"/>
          <w:b w:val="0"/>
          <w:szCs w:val="22"/>
        </w:rPr>
        <w:t>je v souladu s plánovanými náklady.</w:t>
      </w:r>
      <w:r w:rsidRPr="00C073D0">
        <w:rPr>
          <w:rFonts w:asciiTheme="majorHAnsi" w:hAnsiTheme="majorHAnsi" w:cs="Calibri"/>
          <w:szCs w:val="22"/>
        </w:rPr>
        <w:t xml:space="preserve"> </w:t>
      </w:r>
    </w:p>
    <w:p w:rsidR="00C073D0" w:rsidRPr="00B82FE3" w:rsidRDefault="00C073D0" w:rsidP="00C073D0">
      <w:pPr>
        <w:rPr>
          <w:rFonts w:asciiTheme="majorHAnsi" w:hAnsiTheme="majorHAnsi" w:cs="Calibri"/>
          <w:b w:val="0"/>
          <w:szCs w:val="22"/>
        </w:rPr>
      </w:pPr>
      <w:r w:rsidRPr="00B82FE3">
        <w:rPr>
          <w:rFonts w:asciiTheme="majorHAnsi" w:hAnsiTheme="majorHAnsi" w:cs="Calibri"/>
          <w:b w:val="0"/>
          <w:szCs w:val="22"/>
        </w:rPr>
        <w:t>Čerpání u všech kotelen je vždy závislé na aktuální</w:t>
      </w:r>
      <w:r w:rsidR="00B82FE3">
        <w:rPr>
          <w:rFonts w:asciiTheme="majorHAnsi" w:hAnsiTheme="majorHAnsi" w:cs="Calibri"/>
          <w:b w:val="0"/>
          <w:szCs w:val="22"/>
        </w:rPr>
        <w:t>ch</w:t>
      </w:r>
      <w:r w:rsidRPr="00B82FE3">
        <w:rPr>
          <w:rFonts w:asciiTheme="majorHAnsi" w:hAnsiTheme="majorHAnsi" w:cs="Calibri"/>
          <w:b w:val="0"/>
          <w:szCs w:val="22"/>
        </w:rPr>
        <w:t xml:space="preserve"> </w:t>
      </w:r>
      <w:r w:rsidR="00B82FE3">
        <w:rPr>
          <w:rFonts w:asciiTheme="majorHAnsi" w:hAnsiTheme="majorHAnsi" w:cs="Calibri"/>
          <w:b w:val="0"/>
          <w:szCs w:val="22"/>
        </w:rPr>
        <w:t>povětrnostních podmínkách</w:t>
      </w:r>
      <w:r w:rsidRPr="00B82FE3">
        <w:rPr>
          <w:rFonts w:asciiTheme="majorHAnsi" w:hAnsiTheme="majorHAnsi" w:cs="Calibri"/>
          <w:b w:val="0"/>
          <w:szCs w:val="22"/>
        </w:rPr>
        <w:t xml:space="preserve"> daného roku.</w:t>
      </w:r>
    </w:p>
    <w:p w:rsidR="00C073D0" w:rsidRPr="00C073D0" w:rsidRDefault="00C073D0" w:rsidP="00C073D0">
      <w:pPr>
        <w:rPr>
          <w:rFonts w:asciiTheme="majorHAnsi" w:hAnsiTheme="majorHAnsi" w:cs="Calibri"/>
          <w:szCs w:val="22"/>
        </w:rPr>
      </w:pPr>
      <w:r w:rsidRPr="00C073D0">
        <w:rPr>
          <w:rFonts w:asciiTheme="majorHAnsi" w:hAnsiTheme="majorHAnsi" w:cs="Calibri"/>
          <w:szCs w:val="22"/>
        </w:rPr>
        <w:t xml:space="preserve"> </w:t>
      </w:r>
    </w:p>
    <w:p w:rsidR="00C073D0" w:rsidRPr="00B82FE3" w:rsidRDefault="00C073D0" w:rsidP="00C073D0">
      <w:pPr>
        <w:rPr>
          <w:rFonts w:asciiTheme="majorHAnsi" w:hAnsiTheme="majorHAnsi" w:cs="Calibri"/>
          <w:szCs w:val="22"/>
        </w:rPr>
      </w:pPr>
      <w:r w:rsidRPr="00B82FE3">
        <w:rPr>
          <w:rFonts w:asciiTheme="majorHAnsi" w:hAnsiTheme="majorHAnsi" w:cs="Calibri"/>
          <w:szCs w:val="22"/>
        </w:rPr>
        <w:t>Poliklinika</w:t>
      </w:r>
    </w:p>
    <w:p w:rsidR="00C073D0" w:rsidRPr="00C073D0" w:rsidRDefault="00C073D0" w:rsidP="00C073D0">
      <w:pPr>
        <w:rPr>
          <w:rFonts w:asciiTheme="majorHAnsi" w:hAnsiTheme="majorHAnsi" w:cs="Calibri"/>
          <w:szCs w:val="22"/>
        </w:rPr>
      </w:pPr>
      <w:r w:rsidRPr="00B82FE3">
        <w:rPr>
          <w:rFonts w:asciiTheme="majorHAnsi" w:hAnsiTheme="majorHAnsi" w:cs="Calibri"/>
          <w:b w:val="0"/>
          <w:szCs w:val="22"/>
        </w:rPr>
        <w:t>Čerpání odpovídá hodnocenému období. Na budově poliklinika docházelo celý rok k běžným opravám a udržování</w:t>
      </w:r>
      <w:r w:rsidRPr="00C073D0">
        <w:rPr>
          <w:rFonts w:asciiTheme="majorHAnsi" w:hAnsiTheme="majorHAnsi" w:cs="Calibri"/>
          <w:szCs w:val="22"/>
        </w:rPr>
        <w:t>.</w:t>
      </w:r>
    </w:p>
    <w:p w:rsidR="00C073D0" w:rsidRPr="00C073D0" w:rsidRDefault="00C073D0" w:rsidP="00C073D0">
      <w:pPr>
        <w:pStyle w:val="Zkladntextodsazen"/>
        <w:tabs>
          <w:tab w:val="left" w:pos="5103"/>
        </w:tabs>
        <w:rPr>
          <w:rFonts w:asciiTheme="majorHAnsi" w:hAnsiTheme="majorHAnsi" w:cs="Calibri"/>
          <w:sz w:val="22"/>
          <w:szCs w:val="22"/>
        </w:rPr>
      </w:pPr>
    </w:p>
    <w:p w:rsidR="00C073D0" w:rsidRPr="00C073D0" w:rsidRDefault="00ED6A98" w:rsidP="00C073D0">
      <w:pPr>
        <w:pStyle w:val="Zkladntextodsazen"/>
        <w:tabs>
          <w:tab w:val="left" w:pos="5103"/>
        </w:tabs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Osobní náklady (h</w:t>
      </w:r>
      <w:r w:rsidR="00C073D0" w:rsidRPr="00C073D0">
        <w:rPr>
          <w:rFonts w:asciiTheme="majorHAnsi" w:hAnsiTheme="majorHAnsi" w:cs="Calibri"/>
          <w:sz w:val="22"/>
          <w:szCs w:val="22"/>
        </w:rPr>
        <w:t xml:space="preserve">rubé mzdy a s tím </w:t>
      </w:r>
      <w:r w:rsidR="00A32C57" w:rsidRPr="00C073D0">
        <w:rPr>
          <w:rFonts w:asciiTheme="majorHAnsi" w:hAnsiTheme="majorHAnsi" w:cs="Calibri"/>
          <w:sz w:val="22"/>
          <w:szCs w:val="22"/>
        </w:rPr>
        <w:t>související zdravotní</w:t>
      </w:r>
      <w:r w:rsidR="00C073D0" w:rsidRPr="00C073D0">
        <w:rPr>
          <w:rFonts w:asciiTheme="majorHAnsi" w:hAnsiTheme="majorHAnsi" w:cs="Calibri"/>
          <w:sz w:val="22"/>
          <w:szCs w:val="22"/>
        </w:rPr>
        <w:t xml:space="preserve"> a sociální pojištění</w:t>
      </w:r>
      <w:r>
        <w:rPr>
          <w:rFonts w:asciiTheme="majorHAnsi" w:hAnsiTheme="majorHAnsi" w:cs="Calibri"/>
          <w:sz w:val="22"/>
          <w:szCs w:val="22"/>
        </w:rPr>
        <w:t>)</w:t>
      </w:r>
      <w:r w:rsidR="00C073D0" w:rsidRPr="00C073D0">
        <w:rPr>
          <w:rFonts w:asciiTheme="majorHAnsi" w:hAnsiTheme="majorHAnsi" w:cs="Calibri"/>
          <w:sz w:val="22"/>
          <w:szCs w:val="22"/>
        </w:rPr>
        <w:t xml:space="preserve"> hrazené organizací jsou mírně překročeny ve všech odvětvích </w:t>
      </w:r>
      <w:r w:rsidR="00B82FE3">
        <w:rPr>
          <w:rFonts w:asciiTheme="majorHAnsi" w:hAnsiTheme="majorHAnsi" w:cs="Calibri"/>
          <w:sz w:val="22"/>
          <w:szCs w:val="22"/>
        </w:rPr>
        <w:t>BTH</w:t>
      </w:r>
      <w:r w:rsidR="00C073D0" w:rsidRPr="00C073D0">
        <w:rPr>
          <w:rFonts w:asciiTheme="majorHAnsi" w:hAnsiTheme="majorHAnsi" w:cs="Calibri"/>
          <w:sz w:val="22"/>
          <w:szCs w:val="22"/>
        </w:rPr>
        <w:t xml:space="preserve"> především z důvodu nepředpokládaného zvýšení mezd o 3 % v roce 2016. </w:t>
      </w:r>
    </w:p>
    <w:p w:rsidR="00C073D0" w:rsidRPr="00C073D0" w:rsidRDefault="00C073D0" w:rsidP="00C073D0">
      <w:pPr>
        <w:pStyle w:val="Zkladntextodsazen"/>
        <w:tabs>
          <w:tab w:val="left" w:pos="5103"/>
        </w:tabs>
        <w:rPr>
          <w:rFonts w:asciiTheme="majorHAnsi" w:hAnsiTheme="majorHAnsi" w:cs="Calibri"/>
          <w:sz w:val="22"/>
          <w:szCs w:val="22"/>
        </w:rPr>
      </w:pPr>
    </w:p>
    <w:p w:rsidR="005F5BFC" w:rsidRDefault="005F5BFC" w:rsidP="00770E78">
      <w:pPr>
        <w:spacing w:line="240" w:lineRule="auto"/>
        <w:rPr>
          <w:b w:val="0"/>
        </w:rPr>
      </w:pPr>
      <w:r>
        <w:rPr>
          <w:b w:val="0"/>
        </w:rPr>
        <w:t>Na běžných účtech činil zůstatek k 31.12.2016  14 117 486,93 Kč.</w:t>
      </w:r>
    </w:p>
    <w:p w:rsidR="00CB0F97" w:rsidRDefault="00CB0F97" w:rsidP="00770E78">
      <w:pPr>
        <w:spacing w:line="240" w:lineRule="auto"/>
        <w:rPr>
          <w:b w:val="0"/>
        </w:rPr>
      </w:pPr>
    </w:p>
    <w:p w:rsidR="00C073D0" w:rsidRPr="00C073D0" w:rsidRDefault="00C073D0" w:rsidP="00C073D0">
      <w:pPr>
        <w:rPr>
          <w:rFonts w:asciiTheme="majorHAnsi" w:hAnsiTheme="majorHAnsi"/>
          <w:b w:val="0"/>
        </w:rPr>
      </w:pPr>
      <w:r w:rsidRPr="00C073D0">
        <w:rPr>
          <w:rFonts w:asciiTheme="majorHAnsi" w:hAnsiTheme="majorHAnsi" w:cs="Calibri"/>
          <w:szCs w:val="22"/>
        </w:rPr>
        <w:t xml:space="preserve">Pohledávky </w:t>
      </w:r>
      <w:r w:rsidRPr="00C073D0">
        <w:rPr>
          <w:rFonts w:asciiTheme="majorHAnsi" w:hAnsiTheme="majorHAnsi" w:cs="Calibri"/>
          <w:b w:val="0"/>
          <w:szCs w:val="22"/>
        </w:rPr>
        <w:t xml:space="preserve">k datu </w:t>
      </w:r>
      <w:r w:rsidR="00B82FE3" w:rsidRPr="00C073D0">
        <w:rPr>
          <w:rFonts w:asciiTheme="majorHAnsi" w:hAnsiTheme="majorHAnsi" w:cs="Calibri"/>
          <w:b w:val="0"/>
          <w:szCs w:val="22"/>
        </w:rPr>
        <w:t>31. 12. 2016</w:t>
      </w:r>
      <w:r w:rsidRPr="00C073D0">
        <w:rPr>
          <w:rFonts w:asciiTheme="majorHAnsi" w:hAnsiTheme="majorHAnsi" w:cs="Calibri"/>
          <w:b w:val="0"/>
          <w:szCs w:val="22"/>
        </w:rPr>
        <w:t xml:space="preserve"> činí 3 157 578,24 Kč. Pohledávky za výrobu a prodej tepla, ve výši cca 900 tis. Kč, bud</w:t>
      </w:r>
      <w:r>
        <w:rPr>
          <w:rFonts w:asciiTheme="majorHAnsi" w:hAnsiTheme="majorHAnsi" w:cs="Calibri"/>
          <w:b w:val="0"/>
          <w:szCs w:val="22"/>
        </w:rPr>
        <w:t>ou</w:t>
      </w:r>
      <w:r w:rsidRPr="00C073D0">
        <w:rPr>
          <w:rFonts w:asciiTheme="majorHAnsi" w:hAnsiTheme="majorHAnsi" w:cs="Calibri"/>
          <w:b w:val="0"/>
          <w:szCs w:val="22"/>
        </w:rPr>
        <w:t xml:space="preserve"> snížen</w:t>
      </w:r>
      <w:r>
        <w:rPr>
          <w:rFonts w:asciiTheme="majorHAnsi" w:hAnsiTheme="majorHAnsi" w:cs="Calibri"/>
          <w:b w:val="0"/>
          <w:szCs w:val="22"/>
        </w:rPr>
        <w:t>y</w:t>
      </w:r>
      <w:r w:rsidRPr="00C073D0">
        <w:rPr>
          <w:rFonts w:asciiTheme="majorHAnsi" w:hAnsiTheme="majorHAnsi" w:cs="Calibri"/>
          <w:b w:val="0"/>
          <w:szCs w:val="22"/>
        </w:rPr>
        <w:t xml:space="preserve"> formou úhrady faktur za prodej této komodity a za vyúčtování, které proběhne v </w:t>
      </w:r>
      <w:r>
        <w:rPr>
          <w:rFonts w:asciiTheme="majorHAnsi" w:hAnsiTheme="majorHAnsi" w:cs="Calibri"/>
          <w:b w:val="0"/>
          <w:szCs w:val="22"/>
        </w:rPr>
        <w:t xml:space="preserve"> </w:t>
      </w:r>
      <w:r w:rsidRPr="00C073D0">
        <w:rPr>
          <w:rFonts w:asciiTheme="majorHAnsi" w:hAnsiTheme="majorHAnsi" w:cs="Calibri"/>
          <w:b w:val="0"/>
          <w:szCs w:val="22"/>
        </w:rPr>
        <w:t xml:space="preserve">I. čtvrtletí roku 2017. Tím dojde k narovnání stavu a snížení objemu pohledávek v oblasti tepla. </w:t>
      </w:r>
      <w:r w:rsidRPr="00C073D0">
        <w:rPr>
          <w:rFonts w:asciiTheme="majorHAnsi" w:hAnsiTheme="majorHAnsi"/>
          <w:b w:val="0"/>
          <w:szCs w:val="22"/>
        </w:rPr>
        <w:t xml:space="preserve"> </w:t>
      </w:r>
    </w:p>
    <w:p w:rsidR="00C073D0" w:rsidRDefault="00C073D0" w:rsidP="00770E78">
      <w:pPr>
        <w:spacing w:line="240" w:lineRule="auto"/>
        <w:rPr>
          <w:b w:val="0"/>
        </w:rPr>
      </w:pPr>
    </w:p>
    <w:p w:rsidR="00CB0F97" w:rsidRPr="00CB0F97" w:rsidRDefault="00CB0F97" w:rsidP="002C166A">
      <w:pPr>
        <w:spacing w:line="240" w:lineRule="auto"/>
      </w:pPr>
      <w:r w:rsidRPr="00CB0F97">
        <w:t>Fond bytového a tepelného hospodaření</w:t>
      </w:r>
      <w:r>
        <w:t xml:space="preserve"> (dále jen fond BTH)</w:t>
      </w:r>
    </w:p>
    <w:p w:rsidR="00CB0F97" w:rsidRDefault="00CB0F97" w:rsidP="002C166A">
      <w:pPr>
        <w:spacing w:line="240" w:lineRule="auto"/>
        <w:rPr>
          <w:b w:val="0"/>
        </w:rPr>
      </w:pPr>
    </w:p>
    <w:p w:rsidR="00D263BB" w:rsidRDefault="00CB0F97" w:rsidP="002C166A">
      <w:pPr>
        <w:spacing w:line="240" w:lineRule="auto"/>
        <w:rPr>
          <w:b w:val="0"/>
        </w:rPr>
      </w:pPr>
      <w:r>
        <w:rPr>
          <w:b w:val="0"/>
        </w:rPr>
        <w:t>BTH tvoří a čerpá fond BTH dle Zásad.  Jeho počáteční stav roku 2016 byl ve výši 7 011 416,04 Kč. Zůstatek fondu BTH k </w:t>
      </w:r>
      <w:r w:rsidR="006632F1">
        <w:rPr>
          <w:b w:val="0"/>
        </w:rPr>
        <w:t>31. 12. 2016</w:t>
      </w:r>
      <w:r>
        <w:rPr>
          <w:b w:val="0"/>
        </w:rPr>
        <w:t xml:space="preserve"> byl ve výši 9 938 445,85 Kč. Do fondu BTH byl převeden výsledek hospodaření za rok 2016 ve </w:t>
      </w:r>
      <w:r w:rsidR="006632F1">
        <w:rPr>
          <w:b w:val="0"/>
        </w:rPr>
        <w:t xml:space="preserve">výši 6 057 533,32 Kč. </w:t>
      </w:r>
      <w:r w:rsidR="00B82FE3">
        <w:rPr>
          <w:b w:val="0"/>
        </w:rPr>
        <w:t>Celková částka použitelná k čerpání v roce 2017 je ve výši 15 99</w:t>
      </w:r>
      <w:r w:rsidR="003B7595">
        <w:rPr>
          <w:b w:val="0"/>
        </w:rPr>
        <w:t>5</w:t>
      </w:r>
      <w:r w:rsidR="00B82FE3">
        <w:rPr>
          <w:b w:val="0"/>
        </w:rPr>
        <w:t> </w:t>
      </w:r>
      <w:r w:rsidR="003B7595">
        <w:rPr>
          <w:b w:val="0"/>
        </w:rPr>
        <w:t>979</w:t>
      </w:r>
      <w:r w:rsidR="00B82FE3">
        <w:rPr>
          <w:b w:val="0"/>
        </w:rPr>
        <w:t xml:space="preserve"> Kč.</w:t>
      </w:r>
      <w:r w:rsidR="006632F1">
        <w:rPr>
          <w:b w:val="0"/>
        </w:rPr>
        <w:t xml:space="preserve"> </w:t>
      </w:r>
    </w:p>
    <w:p w:rsidR="00D263BB" w:rsidRDefault="00D263BB" w:rsidP="002C166A">
      <w:pPr>
        <w:spacing w:line="240" w:lineRule="auto"/>
        <w:rPr>
          <w:b w:val="0"/>
        </w:rPr>
      </w:pPr>
    </w:p>
    <w:p w:rsidR="00A26051" w:rsidRDefault="00514BFF" w:rsidP="002C166A">
      <w:pPr>
        <w:spacing w:line="240" w:lineRule="auto"/>
        <w:rPr>
          <w:b w:val="0"/>
        </w:rPr>
      </w:pPr>
      <w:r>
        <w:rPr>
          <w:b w:val="0"/>
        </w:rPr>
        <w:t>P</w:t>
      </w:r>
      <w:r w:rsidR="006632F1">
        <w:rPr>
          <w:b w:val="0"/>
        </w:rPr>
        <w:t>odrobně uvedeno v příloze č. 1 – Závěrečný účet.</w:t>
      </w:r>
    </w:p>
    <w:p w:rsidR="000C37A8" w:rsidRDefault="000C37A8" w:rsidP="002C166A">
      <w:pPr>
        <w:spacing w:line="240" w:lineRule="auto"/>
        <w:rPr>
          <w:b w:val="0"/>
        </w:rPr>
      </w:pPr>
    </w:p>
    <w:p w:rsidR="007F1ED6" w:rsidRDefault="007F1ED6" w:rsidP="002C166A">
      <w:pPr>
        <w:spacing w:line="240" w:lineRule="auto"/>
        <w:rPr>
          <w:b w:val="0"/>
        </w:rPr>
      </w:pPr>
    </w:p>
    <w:p w:rsidR="000C37A8" w:rsidRDefault="00833218" w:rsidP="000C37A8">
      <w:pPr>
        <w:pStyle w:val="Odstavecseseznamem"/>
        <w:numPr>
          <w:ilvl w:val="0"/>
          <w:numId w:val="10"/>
        </w:numPr>
        <w:spacing w:line="240" w:lineRule="auto"/>
      </w:pPr>
      <w:r w:rsidRPr="00833218">
        <w:t>Hospodaření příspěvkových organizací</w:t>
      </w:r>
    </w:p>
    <w:p w:rsidR="00737A39" w:rsidRDefault="00737A39" w:rsidP="00737A39">
      <w:pPr>
        <w:pStyle w:val="Odstavecseseznamem"/>
        <w:numPr>
          <w:ilvl w:val="0"/>
          <w:numId w:val="0"/>
        </w:numPr>
        <w:spacing w:line="240" w:lineRule="auto"/>
        <w:ind w:left="720"/>
      </w:pPr>
    </w:p>
    <w:p w:rsidR="00737A39" w:rsidRDefault="006B091D" w:rsidP="006B091D">
      <w:pPr>
        <w:spacing w:line="240" w:lineRule="auto"/>
        <w:rPr>
          <w:b w:val="0"/>
        </w:rPr>
      </w:pPr>
      <w:r>
        <w:rPr>
          <w:b w:val="0"/>
        </w:rPr>
        <w:t xml:space="preserve">Město Slavkov u Brna mělo zřízeno v roce 2016 sedm příspěvkových organizací, z toho pět školských a dvě neškolské příspěvkové organizace. </w:t>
      </w:r>
      <w:r w:rsidR="003B0500">
        <w:rPr>
          <w:b w:val="0"/>
        </w:rPr>
        <w:t xml:space="preserve">Schválení účetních závěrek příspěvkových organizací k rozvahovému dni 31. 12. 2016, schválení výsledku hospodaření těchto příspěvkových organizací za rok 2016 a schválení rozdělení výsledku hospodaření do fondů příspěvkových organizací schválila rada města Slavkov u Brna dne 3. 4.2017 na své 79. schůzi. </w:t>
      </w:r>
    </w:p>
    <w:p w:rsidR="00737A39" w:rsidRDefault="00737A39" w:rsidP="006B091D">
      <w:pPr>
        <w:spacing w:line="240" w:lineRule="auto"/>
        <w:rPr>
          <w:b w:val="0"/>
        </w:rPr>
      </w:pPr>
    </w:p>
    <w:p w:rsidR="006B091D" w:rsidRDefault="001A0285" w:rsidP="006B091D">
      <w:pPr>
        <w:spacing w:line="240" w:lineRule="auto"/>
        <w:rPr>
          <w:b w:val="0"/>
        </w:rPr>
      </w:pPr>
      <w:r>
        <w:rPr>
          <w:b w:val="0"/>
        </w:rPr>
        <w:t>Podrobněji viz příloha č. 1 – Závěrečný účet</w:t>
      </w:r>
      <w:r w:rsidR="00A93C04">
        <w:rPr>
          <w:b w:val="0"/>
        </w:rPr>
        <w:t>, příloha č. 3 – Závěrečný účet – PO školské, příloha č. 4 – Závěrečný účet – PO TSMS, PO ZS-A</w:t>
      </w:r>
      <w:r>
        <w:rPr>
          <w:b w:val="0"/>
        </w:rPr>
        <w:t>.</w:t>
      </w:r>
    </w:p>
    <w:p w:rsidR="007F1ED6" w:rsidRDefault="007F1ED6" w:rsidP="006B091D">
      <w:pPr>
        <w:spacing w:line="240" w:lineRule="auto"/>
        <w:rPr>
          <w:b w:val="0"/>
        </w:rPr>
      </w:pPr>
    </w:p>
    <w:p w:rsidR="003B0500" w:rsidRDefault="003B0500" w:rsidP="006B091D">
      <w:pPr>
        <w:spacing w:line="240" w:lineRule="auto"/>
        <w:rPr>
          <w:b w:val="0"/>
        </w:rPr>
      </w:pPr>
    </w:p>
    <w:p w:rsidR="00737A39" w:rsidRDefault="00737A39" w:rsidP="006B091D">
      <w:pPr>
        <w:spacing w:line="240" w:lineRule="auto"/>
        <w:rPr>
          <w:b w:val="0"/>
        </w:rPr>
      </w:pPr>
    </w:p>
    <w:p w:rsidR="00737A39" w:rsidRDefault="00737A39" w:rsidP="006B091D">
      <w:pPr>
        <w:spacing w:line="240" w:lineRule="auto"/>
        <w:rPr>
          <w:b w:val="0"/>
        </w:rPr>
      </w:pPr>
    </w:p>
    <w:p w:rsidR="00737A39" w:rsidRDefault="00737A39" w:rsidP="006B091D">
      <w:pPr>
        <w:spacing w:line="240" w:lineRule="auto"/>
        <w:rPr>
          <w:b w:val="0"/>
        </w:rPr>
      </w:pPr>
    </w:p>
    <w:p w:rsidR="003B0500" w:rsidRDefault="00AA154B" w:rsidP="007F1ED6">
      <w:pPr>
        <w:pStyle w:val="Odstavecseseznamem"/>
        <w:numPr>
          <w:ilvl w:val="0"/>
          <w:numId w:val="10"/>
        </w:numPr>
        <w:spacing w:line="240" w:lineRule="auto"/>
      </w:pPr>
      <w:r w:rsidRPr="00AA154B">
        <w:t xml:space="preserve">Zpráva o výsledku přezkoumání hospodaření </w:t>
      </w:r>
    </w:p>
    <w:p w:rsidR="002A2AB1" w:rsidRPr="002A2AB1" w:rsidRDefault="002A2AB1" w:rsidP="002A2AB1">
      <w:pPr>
        <w:spacing w:line="240" w:lineRule="auto"/>
        <w:rPr>
          <w:b w:val="0"/>
        </w:rPr>
      </w:pPr>
    </w:p>
    <w:p w:rsidR="002A2AB1" w:rsidRDefault="002A2AB1" w:rsidP="002A2AB1">
      <w:pPr>
        <w:spacing w:line="240" w:lineRule="auto"/>
        <w:rPr>
          <w:b w:val="0"/>
        </w:rPr>
      </w:pPr>
      <w:r w:rsidRPr="002A2AB1">
        <w:rPr>
          <w:b w:val="0"/>
        </w:rPr>
        <w:t xml:space="preserve">Přezkoumání </w:t>
      </w:r>
      <w:r>
        <w:rPr>
          <w:b w:val="0"/>
        </w:rPr>
        <w:t>hospodaření provedla auditorská společnost AUDIT KOREKT s.r.o., číslo oprávnění Komory auditorů ČR 258, IČ 25131265, zapsaná v obchodním rejstříku Městský soud Praha, oddíl C, vložka 52299, a to na základě smlouvy ze dne 19.</w:t>
      </w:r>
      <w:r w:rsidR="00594E6B">
        <w:rPr>
          <w:b w:val="0"/>
        </w:rPr>
        <w:t xml:space="preserve"> </w:t>
      </w:r>
      <w:r>
        <w:rPr>
          <w:b w:val="0"/>
        </w:rPr>
        <w:t>5.2011.</w:t>
      </w:r>
    </w:p>
    <w:p w:rsidR="00737A39" w:rsidRDefault="00737A39" w:rsidP="002A2AB1">
      <w:pPr>
        <w:spacing w:line="240" w:lineRule="auto"/>
      </w:pPr>
    </w:p>
    <w:p w:rsidR="00594E6B" w:rsidRDefault="00594E6B" w:rsidP="002A2AB1">
      <w:pPr>
        <w:spacing w:line="240" w:lineRule="auto"/>
      </w:pPr>
      <w:r w:rsidRPr="00594E6B">
        <w:t>Závěr zprávy</w:t>
      </w:r>
    </w:p>
    <w:p w:rsidR="00594E6B" w:rsidRDefault="00594E6B" w:rsidP="002A2AB1">
      <w:pPr>
        <w:spacing w:line="240" w:lineRule="auto"/>
      </w:pPr>
    </w:p>
    <w:p w:rsidR="00594E6B" w:rsidRDefault="00594E6B" w:rsidP="002A2AB1">
      <w:pPr>
        <w:spacing w:line="240" w:lineRule="auto"/>
        <w:rPr>
          <w:b w:val="0"/>
        </w:rPr>
      </w:pPr>
      <w:r w:rsidRPr="00594E6B">
        <w:rPr>
          <w:b w:val="0"/>
        </w:rPr>
        <w:t>„</w:t>
      </w:r>
      <w:r>
        <w:rPr>
          <w:b w:val="0"/>
        </w:rPr>
        <w:t xml:space="preserve">Při přezkoumání hospodaření územního samosprávného </w:t>
      </w:r>
      <w:r w:rsidR="00A00C04">
        <w:rPr>
          <w:b w:val="0"/>
        </w:rPr>
        <w:t>celku města</w:t>
      </w:r>
      <w:r>
        <w:rPr>
          <w:b w:val="0"/>
        </w:rPr>
        <w:t xml:space="preserve"> Slavkov u Brna za rok 2016 byly zjištěny chyby a nedostatky, které nemají závažnost nedostatků uvedených pod písmenem c).“</w:t>
      </w:r>
    </w:p>
    <w:p w:rsidR="00594E6B" w:rsidRDefault="00594E6B" w:rsidP="002A2AB1">
      <w:pPr>
        <w:spacing w:line="240" w:lineRule="auto"/>
        <w:rPr>
          <w:b w:val="0"/>
        </w:rPr>
      </w:pPr>
    </w:p>
    <w:p w:rsidR="00594E6B" w:rsidRDefault="00594E6B" w:rsidP="002A2AB1">
      <w:pPr>
        <w:spacing w:line="240" w:lineRule="auto"/>
        <w:rPr>
          <w:b w:val="0"/>
        </w:rPr>
      </w:pPr>
      <w:r>
        <w:rPr>
          <w:b w:val="0"/>
        </w:rPr>
        <w:t>Příloha zprávy o přezkoumání hospodaření</w:t>
      </w:r>
    </w:p>
    <w:p w:rsidR="00594E6B" w:rsidRDefault="00594E6B" w:rsidP="002A2AB1">
      <w:pPr>
        <w:spacing w:line="240" w:lineRule="auto"/>
        <w:rPr>
          <w:b w:val="0"/>
        </w:rPr>
      </w:pPr>
    </w:p>
    <w:p w:rsidR="00594E6B" w:rsidRPr="00594E6B" w:rsidRDefault="00594E6B" w:rsidP="00594E6B">
      <w:pPr>
        <w:pStyle w:val="Odstavecseseznamem"/>
        <w:numPr>
          <w:ilvl w:val="0"/>
          <w:numId w:val="15"/>
        </w:numPr>
        <w:spacing w:line="240" w:lineRule="auto"/>
        <w:rPr>
          <w:b w:val="0"/>
        </w:rPr>
      </w:pPr>
      <w:r w:rsidRPr="00594E6B">
        <w:rPr>
          <w:b w:val="0"/>
        </w:rPr>
        <w:t xml:space="preserve">Zjištění, </w:t>
      </w:r>
      <w:r>
        <w:rPr>
          <w:b w:val="0"/>
        </w:rPr>
        <w:t>případně popis zjištěných chyb a nedostatků podle § 10 odstavce 3 písmena b)</w:t>
      </w:r>
    </w:p>
    <w:p w:rsidR="00533BE2" w:rsidRDefault="00533BE2" w:rsidP="00533BE2">
      <w:pPr>
        <w:spacing w:line="240" w:lineRule="auto"/>
      </w:pPr>
    </w:p>
    <w:p w:rsidR="00533BE2" w:rsidRDefault="00594E6B" w:rsidP="00533BE2">
      <w:pPr>
        <w:spacing w:line="240" w:lineRule="auto"/>
        <w:rPr>
          <w:b w:val="0"/>
        </w:rPr>
      </w:pPr>
      <w:r w:rsidRPr="00594E6B">
        <w:rPr>
          <w:b w:val="0"/>
        </w:rPr>
        <w:t xml:space="preserve">„ Organizace </w:t>
      </w:r>
      <w:r>
        <w:rPr>
          <w:b w:val="0"/>
        </w:rPr>
        <w:t xml:space="preserve">nevypracovala vnitřní směrnici k poskytnutí </w:t>
      </w:r>
      <w:r w:rsidR="00A00C04">
        <w:rPr>
          <w:b w:val="0"/>
        </w:rPr>
        <w:t>dotací dle</w:t>
      </w:r>
      <w:r>
        <w:rPr>
          <w:b w:val="0"/>
        </w:rPr>
        <w:t xml:space="preserve"> zákona č. 250/2000 Sb., o rozpočtových pravidlech územních rozpočtů.“</w:t>
      </w:r>
    </w:p>
    <w:p w:rsidR="00A00C04" w:rsidRDefault="00A00C04" w:rsidP="00533BE2">
      <w:pPr>
        <w:spacing w:line="240" w:lineRule="auto"/>
        <w:rPr>
          <w:b w:val="0"/>
        </w:rPr>
      </w:pPr>
    </w:p>
    <w:p w:rsidR="00A00C04" w:rsidRPr="00594E6B" w:rsidRDefault="00A00C04" w:rsidP="00533BE2">
      <w:pPr>
        <w:spacing w:line="240" w:lineRule="auto"/>
        <w:rPr>
          <w:b w:val="0"/>
        </w:rPr>
      </w:pPr>
      <w:r>
        <w:rPr>
          <w:b w:val="0"/>
        </w:rPr>
        <w:t xml:space="preserve">Plné znění Zprávy o přezkoumání hospodaření města Slavkov u Brna za období od </w:t>
      </w:r>
      <w:r w:rsidR="00003BBC">
        <w:rPr>
          <w:b w:val="0"/>
        </w:rPr>
        <w:t>1. 1. 2016</w:t>
      </w:r>
      <w:r>
        <w:rPr>
          <w:b w:val="0"/>
        </w:rPr>
        <w:t xml:space="preserve"> do </w:t>
      </w:r>
      <w:r w:rsidR="00003BBC">
        <w:rPr>
          <w:b w:val="0"/>
        </w:rPr>
        <w:t>31. 12. 2016</w:t>
      </w:r>
      <w:r>
        <w:rPr>
          <w:b w:val="0"/>
        </w:rPr>
        <w:t xml:space="preserve"> je přílohou č. 2</w:t>
      </w:r>
      <w:r w:rsidR="00A93C04">
        <w:rPr>
          <w:b w:val="0"/>
        </w:rPr>
        <w:t xml:space="preserve"> </w:t>
      </w:r>
      <w:r>
        <w:rPr>
          <w:b w:val="0"/>
        </w:rPr>
        <w:t>tohoto závěrečného účtu.</w:t>
      </w:r>
    </w:p>
    <w:p w:rsidR="00833218" w:rsidRPr="00833218" w:rsidRDefault="00833218" w:rsidP="00833218">
      <w:pPr>
        <w:spacing w:line="240" w:lineRule="auto"/>
      </w:pPr>
    </w:p>
    <w:p w:rsidR="00A26051" w:rsidRPr="00A26051" w:rsidRDefault="00A26051" w:rsidP="002C166A">
      <w:pPr>
        <w:spacing w:line="240" w:lineRule="auto"/>
        <w:rPr>
          <w:b w:val="0"/>
        </w:rPr>
      </w:pPr>
    </w:p>
    <w:p w:rsidR="00A26051" w:rsidRPr="00A26051" w:rsidRDefault="00A26051" w:rsidP="002C166A">
      <w:pPr>
        <w:spacing w:line="240" w:lineRule="auto"/>
        <w:rPr>
          <w:b w:val="0"/>
        </w:rPr>
      </w:pPr>
    </w:p>
    <w:p w:rsidR="00A26051" w:rsidRPr="00B90DEA" w:rsidRDefault="00A26051" w:rsidP="002C166A">
      <w:pPr>
        <w:spacing w:line="240" w:lineRule="auto"/>
        <w:rPr>
          <w:b w:val="0"/>
        </w:rPr>
      </w:pPr>
    </w:p>
    <w:p w:rsidR="00B90DEA" w:rsidRDefault="00B90DEA" w:rsidP="002C166A">
      <w:pPr>
        <w:spacing w:line="240" w:lineRule="auto"/>
        <w:rPr>
          <w:b w:val="0"/>
        </w:rPr>
      </w:pPr>
    </w:p>
    <w:p w:rsidR="00B90DEA" w:rsidRDefault="00B90DEA" w:rsidP="002C166A">
      <w:pPr>
        <w:spacing w:line="240" w:lineRule="auto"/>
        <w:rPr>
          <w:b w:val="0"/>
        </w:rPr>
      </w:pPr>
    </w:p>
    <w:p w:rsidR="00B90DEA" w:rsidRDefault="00B90DEA" w:rsidP="002C166A">
      <w:pPr>
        <w:spacing w:line="240" w:lineRule="auto"/>
        <w:rPr>
          <w:b w:val="0"/>
        </w:rPr>
      </w:pPr>
    </w:p>
    <w:p w:rsidR="005F647E" w:rsidRDefault="00332CEA" w:rsidP="00D533E6">
      <w:pPr>
        <w:spacing w:line="240" w:lineRule="auto"/>
      </w:pPr>
      <w:r>
        <w:rPr>
          <w:b w:val="0"/>
        </w:rPr>
        <w:t xml:space="preserve"> </w:t>
      </w: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Default="005F647E" w:rsidP="00171AE7">
      <w:pPr>
        <w:spacing w:line="276" w:lineRule="auto"/>
      </w:pPr>
    </w:p>
    <w:p w:rsidR="005F647E" w:rsidRPr="00171AE7" w:rsidRDefault="005F647E" w:rsidP="00171AE7">
      <w:pPr>
        <w:spacing w:line="276" w:lineRule="auto"/>
      </w:pPr>
    </w:p>
    <w:sectPr w:rsidR="005F647E" w:rsidRPr="00171AE7" w:rsidSect="00F0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52B"/>
    <w:multiLevelType w:val="multilevel"/>
    <w:tmpl w:val="1A269B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1147C0E"/>
    <w:multiLevelType w:val="hybridMultilevel"/>
    <w:tmpl w:val="FB7EC0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811"/>
    <w:multiLevelType w:val="hybridMultilevel"/>
    <w:tmpl w:val="34BC75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41284"/>
    <w:multiLevelType w:val="hybridMultilevel"/>
    <w:tmpl w:val="09D8105A"/>
    <w:lvl w:ilvl="0" w:tplc="FB98C1D2">
      <w:start w:val="1"/>
      <w:numFmt w:val="decimal"/>
      <w:pStyle w:val="Nadpis5"/>
      <w:lvlText w:val="Tabulka č. %1: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97A9A"/>
    <w:multiLevelType w:val="hybridMultilevel"/>
    <w:tmpl w:val="B392855C"/>
    <w:lvl w:ilvl="0" w:tplc="9494865C">
      <w:start w:val="1"/>
      <w:numFmt w:val="decimal"/>
      <w:pStyle w:val="graf"/>
      <w:lvlText w:val="Graf č. %1: 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12261"/>
    <w:multiLevelType w:val="hybridMultilevel"/>
    <w:tmpl w:val="02BC223A"/>
    <w:lvl w:ilvl="0" w:tplc="6F661D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B26144"/>
    <w:multiLevelType w:val="hybridMultilevel"/>
    <w:tmpl w:val="BCE8A23C"/>
    <w:lvl w:ilvl="0" w:tplc="804C7A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EEE03D1"/>
    <w:multiLevelType w:val="hybridMultilevel"/>
    <w:tmpl w:val="6268A8E6"/>
    <w:lvl w:ilvl="0" w:tplc="B24A53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7E43F4"/>
    <w:multiLevelType w:val="hybridMultilevel"/>
    <w:tmpl w:val="73AE534E"/>
    <w:lvl w:ilvl="0" w:tplc="9716A94C">
      <w:start w:val="1"/>
      <w:numFmt w:val="decimal"/>
      <w:pStyle w:val="tabulka"/>
      <w:lvlText w:val="Tabulka č. %1: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90B87"/>
    <w:multiLevelType w:val="hybridMultilevel"/>
    <w:tmpl w:val="BBD08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B3AD2"/>
    <w:multiLevelType w:val="hybridMultilevel"/>
    <w:tmpl w:val="B2B8C238"/>
    <w:lvl w:ilvl="0" w:tplc="D032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20940"/>
    <w:multiLevelType w:val="hybridMultilevel"/>
    <w:tmpl w:val="17E64A5E"/>
    <w:lvl w:ilvl="0" w:tplc="2CF05C9A">
      <w:start w:val="1"/>
      <w:numFmt w:val="bullet"/>
      <w:pStyle w:val="Odstavecseseznamem"/>
      <w:lvlText w:val="■"/>
      <w:lvlJc w:val="left"/>
      <w:pPr>
        <w:ind w:left="502" w:hanging="360"/>
      </w:pPr>
      <w:rPr>
        <w:rFonts w:ascii="Arial" w:hAnsi="Arial" w:hint="default"/>
        <w:color w:val="9E292B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BA4522"/>
    <w:multiLevelType w:val="hybridMultilevel"/>
    <w:tmpl w:val="FCD8B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AE7"/>
    <w:rsid w:val="00003BBC"/>
    <w:rsid w:val="000335D2"/>
    <w:rsid w:val="0003393C"/>
    <w:rsid w:val="00083750"/>
    <w:rsid w:val="00095661"/>
    <w:rsid w:val="000C37A8"/>
    <w:rsid w:val="000C3C01"/>
    <w:rsid w:val="000D268E"/>
    <w:rsid w:val="000D3EBF"/>
    <w:rsid w:val="00131099"/>
    <w:rsid w:val="0013605D"/>
    <w:rsid w:val="00155D7E"/>
    <w:rsid w:val="00166528"/>
    <w:rsid w:val="00170CA6"/>
    <w:rsid w:val="00171AE7"/>
    <w:rsid w:val="00186E64"/>
    <w:rsid w:val="00192079"/>
    <w:rsid w:val="001A0285"/>
    <w:rsid w:val="001A531F"/>
    <w:rsid w:val="001C732C"/>
    <w:rsid w:val="001D0163"/>
    <w:rsid w:val="001E1195"/>
    <w:rsid w:val="001F65C6"/>
    <w:rsid w:val="00200CDB"/>
    <w:rsid w:val="002056B8"/>
    <w:rsid w:val="002158F1"/>
    <w:rsid w:val="002A2AB1"/>
    <w:rsid w:val="002A433B"/>
    <w:rsid w:val="002B05D9"/>
    <w:rsid w:val="002C166A"/>
    <w:rsid w:val="002C4141"/>
    <w:rsid w:val="002D3F17"/>
    <w:rsid w:val="002E64A2"/>
    <w:rsid w:val="00332036"/>
    <w:rsid w:val="00332CEA"/>
    <w:rsid w:val="003511F8"/>
    <w:rsid w:val="00396874"/>
    <w:rsid w:val="003B0500"/>
    <w:rsid w:val="003B7595"/>
    <w:rsid w:val="003E7543"/>
    <w:rsid w:val="003F6BE7"/>
    <w:rsid w:val="00413699"/>
    <w:rsid w:val="004809A5"/>
    <w:rsid w:val="00486128"/>
    <w:rsid w:val="004A3F94"/>
    <w:rsid w:val="004A59F3"/>
    <w:rsid w:val="004B079C"/>
    <w:rsid w:val="004D554A"/>
    <w:rsid w:val="004F3C20"/>
    <w:rsid w:val="004F3D8F"/>
    <w:rsid w:val="00510E19"/>
    <w:rsid w:val="00514BFF"/>
    <w:rsid w:val="005152F2"/>
    <w:rsid w:val="005232B0"/>
    <w:rsid w:val="005302D5"/>
    <w:rsid w:val="00533BE2"/>
    <w:rsid w:val="0057212C"/>
    <w:rsid w:val="00594E6B"/>
    <w:rsid w:val="005B5174"/>
    <w:rsid w:val="005D1B90"/>
    <w:rsid w:val="005E2FF9"/>
    <w:rsid w:val="005F5BFC"/>
    <w:rsid w:val="005F647E"/>
    <w:rsid w:val="00632119"/>
    <w:rsid w:val="00647D6E"/>
    <w:rsid w:val="006632F1"/>
    <w:rsid w:val="0068370B"/>
    <w:rsid w:val="006A2BD8"/>
    <w:rsid w:val="006B091D"/>
    <w:rsid w:val="006B3C60"/>
    <w:rsid w:val="006B7DCE"/>
    <w:rsid w:val="006C5A1D"/>
    <w:rsid w:val="006D068C"/>
    <w:rsid w:val="006F1976"/>
    <w:rsid w:val="00703859"/>
    <w:rsid w:val="0071712B"/>
    <w:rsid w:val="00737A39"/>
    <w:rsid w:val="00770E78"/>
    <w:rsid w:val="00794AE6"/>
    <w:rsid w:val="007A6392"/>
    <w:rsid w:val="007B5AF3"/>
    <w:rsid w:val="007C4E99"/>
    <w:rsid w:val="007E24C7"/>
    <w:rsid w:val="007E2E93"/>
    <w:rsid w:val="007F1ED6"/>
    <w:rsid w:val="008048E1"/>
    <w:rsid w:val="00820900"/>
    <w:rsid w:val="00823D14"/>
    <w:rsid w:val="00833218"/>
    <w:rsid w:val="00890B54"/>
    <w:rsid w:val="008E097B"/>
    <w:rsid w:val="009028AF"/>
    <w:rsid w:val="0092496A"/>
    <w:rsid w:val="00950BEF"/>
    <w:rsid w:val="00961710"/>
    <w:rsid w:val="00970405"/>
    <w:rsid w:val="00984646"/>
    <w:rsid w:val="009B4A0A"/>
    <w:rsid w:val="00A00C04"/>
    <w:rsid w:val="00A26051"/>
    <w:rsid w:val="00A32C57"/>
    <w:rsid w:val="00A4319F"/>
    <w:rsid w:val="00A626CD"/>
    <w:rsid w:val="00A6472C"/>
    <w:rsid w:val="00A73342"/>
    <w:rsid w:val="00A93C04"/>
    <w:rsid w:val="00AA154B"/>
    <w:rsid w:val="00AA5D66"/>
    <w:rsid w:val="00AA72BA"/>
    <w:rsid w:val="00AD28ED"/>
    <w:rsid w:val="00B82FE3"/>
    <w:rsid w:val="00B90230"/>
    <w:rsid w:val="00B90DEA"/>
    <w:rsid w:val="00BD0878"/>
    <w:rsid w:val="00BD1535"/>
    <w:rsid w:val="00BD2AEF"/>
    <w:rsid w:val="00C073D0"/>
    <w:rsid w:val="00C205B4"/>
    <w:rsid w:val="00C407B7"/>
    <w:rsid w:val="00C76165"/>
    <w:rsid w:val="00CB0F97"/>
    <w:rsid w:val="00CC2695"/>
    <w:rsid w:val="00CC2F14"/>
    <w:rsid w:val="00CC3F7B"/>
    <w:rsid w:val="00CE7C5C"/>
    <w:rsid w:val="00D21FB2"/>
    <w:rsid w:val="00D23E6B"/>
    <w:rsid w:val="00D263BB"/>
    <w:rsid w:val="00D5131E"/>
    <w:rsid w:val="00D533E6"/>
    <w:rsid w:val="00D71912"/>
    <w:rsid w:val="00DE4861"/>
    <w:rsid w:val="00E074CB"/>
    <w:rsid w:val="00E16015"/>
    <w:rsid w:val="00E321FC"/>
    <w:rsid w:val="00E41CB3"/>
    <w:rsid w:val="00E816E2"/>
    <w:rsid w:val="00EA4038"/>
    <w:rsid w:val="00EC16CB"/>
    <w:rsid w:val="00ED6A98"/>
    <w:rsid w:val="00EE6BCD"/>
    <w:rsid w:val="00F002A8"/>
    <w:rsid w:val="00F23DEA"/>
    <w:rsid w:val="00F35444"/>
    <w:rsid w:val="00F61CD8"/>
    <w:rsid w:val="00F653F0"/>
    <w:rsid w:val="00F70498"/>
    <w:rsid w:val="00F73B0C"/>
    <w:rsid w:val="00FA2253"/>
    <w:rsid w:val="00FA6520"/>
    <w:rsid w:val="00FB4F85"/>
    <w:rsid w:val="00F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A0A"/>
    <w:pPr>
      <w:spacing w:line="264" w:lineRule="auto"/>
      <w:jc w:val="both"/>
    </w:pPr>
    <w:rPr>
      <w:rFonts w:ascii="Cambria" w:hAnsi="Cambria"/>
      <w:b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A0A"/>
    <w:pPr>
      <w:keepNext/>
      <w:pageBreakBefore/>
      <w:numPr>
        <w:numId w:val="4"/>
      </w:numPr>
      <w:suppressAutoHyphens/>
      <w:spacing w:before="240" w:after="60"/>
      <w:jc w:val="left"/>
      <w:outlineLvl w:val="0"/>
    </w:pPr>
    <w:rPr>
      <w:rFonts w:eastAsiaTheme="majorEastAsia" w:cs="Arial"/>
      <w:bCs/>
      <w:kern w:val="32"/>
      <w:sz w:val="36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A0A"/>
    <w:pPr>
      <w:keepNext/>
      <w:numPr>
        <w:ilvl w:val="1"/>
        <w:numId w:val="4"/>
      </w:numPr>
      <w:pBdr>
        <w:bottom w:val="single" w:sz="4" w:space="1" w:color="auto"/>
      </w:pBdr>
      <w:spacing w:before="240" w:after="120" w:line="240" w:lineRule="auto"/>
      <w:jc w:val="left"/>
      <w:outlineLvl w:val="1"/>
    </w:pPr>
    <w:rPr>
      <w:rFonts w:eastAsiaTheme="majorEastAsia" w:cs="Arial"/>
      <w:bCs/>
      <w:iCs/>
      <w: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9B4A0A"/>
    <w:pPr>
      <w:keepNext/>
      <w:numPr>
        <w:ilvl w:val="2"/>
        <w:numId w:val="4"/>
      </w:numPr>
      <w:suppressAutoHyphens/>
      <w:spacing w:before="240" w:after="120" w:line="240" w:lineRule="auto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9B4A0A"/>
    <w:pPr>
      <w:numPr>
        <w:ilvl w:val="3"/>
      </w:numPr>
      <w:outlineLvl w:val="3"/>
    </w:pPr>
    <w:rPr>
      <w:bCs w:val="0"/>
      <w:sz w:val="21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9B4A0A"/>
    <w:pPr>
      <w:keepNext/>
      <w:keepLines/>
      <w:numPr>
        <w:numId w:val="5"/>
      </w:numPr>
      <w:spacing w:before="200"/>
      <w:outlineLvl w:val="4"/>
    </w:pPr>
    <w:rPr>
      <w:rFonts w:eastAsiaTheme="majorEastAsia" w:cs="Arial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9B4A0A"/>
    <w:pPr>
      <w:keepNext/>
      <w:keepLines/>
      <w:spacing w:before="200"/>
      <w:outlineLvl w:val="6"/>
    </w:pPr>
    <w:rPr>
      <w:rFonts w:eastAsia="Times New Roman"/>
      <w:i/>
      <w:iCs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9B4A0A"/>
    <w:pPr>
      <w:keepNext/>
      <w:keepLines/>
      <w:spacing w:before="200"/>
      <w:outlineLvl w:val="7"/>
    </w:pPr>
    <w:rPr>
      <w:rFonts w:eastAsia="Times New Roman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9B4A0A"/>
    <w:pPr>
      <w:keepNext/>
      <w:keepLines/>
      <w:spacing w:before="200"/>
      <w:outlineLvl w:val="8"/>
    </w:pPr>
    <w:rPr>
      <w:rFonts w:eastAsia="Times New Roman"/>
      <w:i/>
      <w:iCs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B4A0A"/>
    <w:rPr>
      <w:rFonts w:ascii="Cambria" w:eastAsiaTheme="majorEastAsia" w:hAnsi="Cambria" w:cs="Arial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9B4A0A"/>
    <w:rPr>
      <w:rFonts w:ascii="Cambria" w:eastAsiaTheme="majorEastAsia" w:hAnsi="Cambria" w:cs="Arial"/>
      <w:bCs/>
      <w:iCs/>
      <w:cap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rsid w:val="009B4A0A"/>
    <w:rPr>
      <w:rFonts w:ascii="Cambria" w:eastAsiaTheme="majorEastAsia" w:hAnsi="Cambria" w:cs="Arial"/>
      <w:b/>
      <w:bCs/>
      <w:sz w:val="24"/>
      <w:szCs w:val="26"/>
      <w:lang w:val="cs-CZ" w:eastAsia="cs-CZ"/>
    </w:rPr>
  </w:style>
  <w:style w:type="character" w:customStyle="1" w:styleId="Nadpis4Char">
    <w:name w:val="Nadpis 4 Char"/>
    <w:link w:val="Nadpis4"/>
    <w:uiPriority w:val="99"/>
    <w:rsid w:val="009B4A0A"/>
    <w:rPr>
      <w:rFonts w:ascii="Cambria" w:eastAsiaTheme="majorEastAsia" w:hAnsi="Cambria" w:cs="Arial"/>
      <w:b/>
      <w:sz w:val="21"/>
      <w:szCs w:val="28"/>
      <w:lang w:eastAsia="cs-CZ"/>
    </w:rPr>
  </w:style>
  <w:style w:type="character" w:customStyle="1" w:styleId="Nadpis5Char">
    <w:name w:val="Nadpis 5 Char"/>
    <w:link w:val="Nadpis5"/>
    <w:rsid w:val="009B4A0A"/>
    <w:rPr>
      <w:rFonts w:ascii="Cambria" w:eastAsiaTheme="majorEastAsia" w:hAnsi="Cambria" w:cs="Arial"/>
      <w:sz w:val="21"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9B4A0A"/>
    <w:rPr>
      <w:rFonts w:ascii="Cambria" w:eastAsia="Times New Roman" w:hAnsi="Cambria" w:cs="Times New Roman"/>
      <w:i/>
      <w:iCs/>
      <w:sz w:val="21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9B4A0A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9B4A0A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B4A0A"/>
    <w:pPr>
      <w:tabs>
        <w:tab w:val="left" w:pos="1276"/>
      </w:tabs>
      <w:spacing w:before="240" w:after="200" w:line="240" w:lineRule="auto"/>
    </w:pPr>
    <w:rPr>
      <w:bCs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4A0A"/>
    <w:pPr>
      <w:pBdr>
        <w:bottom w:val="single" w:sz="8" w:space="1" w:color="000000"/>
      </w:pBdr>
      <w:spacing w:after="300" w:line="240" w:lineRule="auto"/>
      <w:contextualSpacing/>
    </w:pPr>
    <w:rPr>
      <w:rFonts w:eastAsia="MS Gothic"/>
      <w:spacing w:val="5"/>
      <w:kern w:val="28"/>
      <w:sz w:val="52"/>
      <w:szCs w:val="52"/>
      <w:lang w:val="en-US"/>
    </w:rPr>
  </w:style>
  <w:style w:type="character" w:customStyle="1" w:styleId="NzevChar">
    <w:name w:val="Název Char"/>
    <w:link w:val="Nzev"/>
    <w:uiPriority w:val="10"/>
    <w:rsid w:val="009B4A0A"/>
    <w:rPr>
      <w:rFonts w:ascii="Cambria" w:eastAsia="MS Gothic" w:hAnsi="Cambria" w:cs="Times New Roman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9B4A0A"/>
    <w:pPr>
      <w:numPr>
        <w:numId w:val="6"/>
      </w:numPr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4A0A"/>
    <w:pPr>
      <w:keepLines/>
      <w:pageBreakBefore w:val="0"/>
      <w:numPr>
        <w:numId w:val="0"/>
      </w:numPr>
      <w:suppressAutoHyphens w:val="0"/>
      <w:spacing w:before="480" w:after="120" w:line="276" w:lineRule="auto"/>
      <w:outlineLvl w:val="9"/>
    </w:pPr>
    <w:rPr>
      <w:rFonts w:eastAsia="MS Gothic" w:cs="Times New Roman"/>
      <w:kern w:val="0"/>
      <w:szCs w:val="28"/>
      <w:lang w:val="cs-CZ"/>
    </w:rPr>
  </w:style>
  <w:style w:type="paragraph" w:customStyle="1" w:styleId="tabulka">
    <w:name w:val="tabulka"/>
    <w:basedOn w:val="Normln"/>
    <w:qFormat/>
    <w:rsid w:val="009B4A0A"/>
    <w:pPr>
      <w:numPr>
        <w:numId w:val="7"/>
      </w:numPr>
      <w:tabs>
        <w:tab w:val="left" w:pos="1418"/>
      </w:tabs>
      <w:spacing w:before="240" w:after="200" w:line="240" w:lineRule="auto"/>
    </w:pPr>
  </w:style>
  <w:style w:type="paragraph" w:customStyle="1" w:styleId="graf">
    <w:name w:val="graf"/>
    <w:basedOn w:val="Normln"/>
    <w:qFormat/>
    <w:rsid w:val="009B4A0A"/>
    <w:pPr>
      <w:numPr>
        <w:numId w:val="8"/>
      </w:numPr>
      <w:tabs>
        <w:tab w:val="left" w:pos="992"/>
      </w:tabs>
      <w:spacing w:before="240" w:after="200" w:line="240" w:lineRule="auto"/>
    </w:pPr>
    <w:rPr>
      <w:rFonts w:eastAsiaTheme="minorHAnsi" w:cstheme="minorBidi"/>
      <w:szCs w:val="22"/>
      <w:lang w:eastAsia="en-US"/>
    </w:rPr>
  </w:style>
  <w:style w:type="paragraph" w:customStyle="1" w:styleId="AQE1">
    <w:name w:val="AQE 1"/>
    <w:basedOn w:val="Nadpis1"/>
    <w:link w:val="AQE1Char"/>
    <w:qFormat/>
    <w:rsid w:val="009B4A0A"/>
    <w:pPr>
      <w:numPr>
        <w:numId w:val="0"/>
      </w:numPr>
    </w:pPr>
    <w:rPr>
      <w:rFonts w:eastAsia="Times New Roman"/>
    </w:rPr>
  </w:style>
  <w:style w:type="character" w:customStyle="1" w:styleId="AQE1Char">
    <w:name w:val="AQE 1 Char"/>
    <w:link w:val="AQE1"/>
    <w:rsid w:val="009B4A0A"/>
    <w:rPr>
      <w:rFonts w:ascii="Cambria" w:eastAsia="Times New Roman" w:hAnsi="Cambria" w:cs="Arial"/>
      <w:b/>
      <w:bCs/>
      <w:kern w:val="32"/>
      <w:sz w:val="36"/>
      <w:szCs w:val="32"/>
      <w:lang w:eastAsia="cs-CZ"/>
    </w:rPr>
  </w:style>
  <w:style w:type="paragraph" w:customStyle="1" w:styleId="AQE11">
    <w:name w:val="AQE 1.1"/>
    <w:basedOn w:val="Nadpis2"/>
    <w:link w:val="AQE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Char">
    <w:name w:val="AQE 1.1 Char"/>
    <w:link w:val="AQE11"/>
    <w:rsid w:val="009B4A0A"/>
    <w:rPr>
      <w:rFonts w:ascii="Cambria" w:eastAsia="Times New Roman" w:hAnsi="Cambria" w:cs="Arial"/>
      <w:bCs/>
      <w:iCs/>
      <w:caps/>
      <w:sz w:val="28"/>
      <w:szCs w:val="28"/>
      <w:lang w:eastAsia="cs-CZ"/>
    </w:rPr>
  </w:style>
  <w:style w:type="paragraph" w:customStyle="1" w:styleId="AQE111">
    <w:name w:val="AQE 1.1.1"/>
    <w:basedOn w:val="Nadpis3"/>
    <w:link w:val="AQE1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1Char">
    <w:name w:val="AQE 1.1.1 Char"/>
    <w:link w:val="AQE111"/>
    <w:rsid w:val="009B4A0A"/>
    <w:rPr>
      <w:rFonts w:ascii="Cambria" w:eastAsia="Times New Roman" w:hAnsi="Cambria" w:cs="Arial"/>
      <w:b/>
      <w:bCs/>
      <w:sz w:val="24"/>
      <w:szCs w:val="26"/>
      <w:lang w:val="cs-CZ" w:eastAsia="cs-CZ"/>
    </w:rPr>
  </w:style>
  <w:style w:type="paragraph" w:customStyle="1" w:styleId="AQE1111">
    <w:name w:val="AQE 1.1.1.1"/>
    <w:basedOn w:val="Nadpis4"/>
    <w:link w:val="AQE1111Char"/>
    <w:qFormat/>
    <w:rsid w:val="009B4A0A"/>
    <w:pPr>
      <w:numPr>
        <w:ilvl w:val="0"/>
        <w:numId w:val="0"/>
      </w:numPr>
    </w:pPr>
    <w:rPr>
      <w:rFonts w:eastAsia="Times New Roman"/>
      <w:lang w:val="cs-CZ"/>
    </w:rPr>
  </w:style>
  <w:style w:type="character" w:customStyle="1" w:styleId="AQE1111Char">
    <w:name w:val="AQE 1.1.1.1 Char"/>
    <w:link w:val="AQE1111"/>
    <w:rsid w:val="009B4A0A"/>
    <w:rPr>
      <w:rFonts w:ascii="Cambria" w:eastAsia="Times New Roman" w:hAnsi="Cambria" w:cs="Arial"/>
      <w:b/>
      <w:sz w:val="21"/>
      <w:szCs w:val="28"/>
      <w:lang w:val="cs-CZ" w:eastAsia="cs-CZ"/>
    </w:rPr>
  </w:style>
  <w:style w:type="paragraph" w:customStyle="1" w:styleId="AQEA">
    <w:name w:val="AQE A"/>
    <w:basedOn w:val="Normln"/>
    <w:autoRedefine/>
    <w:qFormat/>
    <w:rsid w:val="009B4A0A"/>
    <w:pPr>
      <w:shd w:val="clear" w:color="auto" w:fill="A43D3A"/>
      <w:spacing w:line="276" w:lineRule="auto"/>
      <w:jc w:val="left"/>
    </w:pPr>
    <w:rPr>
      <w:rFonts w:ascii="Calibri" w:eastAsia="Times New Roman" w:hAnsi="Calibri"/>
      <w:color w:val="FFFFFF"/>
      <w:sz w:val="28"/>
      <w:szCs w:val="28"/>
    </w:rPr>
  </w:style>
  <w:style w:type="paragraph" w:customStyle="1" w:styleId="AQE3">
    <w:name w:val="AQE3"/>
    <w:basedOn w:val="Normln"/>
    <w:link w:val="AQE3Char"/>
    <w:qFormat/>
    <w:rsid w:val="009B4A0A"/>
    <w:pPr>
      <w:autoSpaceDE w:val="0"/>
      <w:autoSpaceDN w:val="0"/>
      <w:adjustRightInd w:val="0"/>
    </w:pPr>
  </w:style>
  <w:style w:type="character" w:customStyle="1" w:styleId="AQE3Char">
    <w:name w:val="AQE3 Char"/>
    <w:basedOn w:val="Standardnpsmoodstavce"/>
    <w:link w:val="AQE3"/>
    <w:rsid w:val="009B4A0A"/>
    <w:rPr>
      <w:rFonts w:ascii="Cambria" w:hAnsi="Cambria"/>
      <w:b/>
      <w:sz w:val="21"/>
      <w:szCs w:val="24"/>
      <w:lang w:val="cs-CZ" w:eastAsia="cs-CZ"/>
    </w:rPr>
  </w:style>
  <w:style w:type="paragraph" w:customStyle="1" w:styleId="Seznamtabulek">
    <w:name w:val="Seznam tabulek"/>
    <w:basedOn w:val="Seznamobrzk"/>
    <w:qFormat/>
    <w:rsid w:val="009B4A0A"/>
    <w:pPr>
      <w:tabs>
        <w:tab w:val="left" w:pos="1134"/>
        <w:tab w:val="right" w:leader="dot" w:pos="9061"/>
      </w:tabs>
    </w:pPr>
  </w:style>
  <w:style w:type="paragraph" w:styleId="Seznamobrzk">
    <w:name w:val="table of figures"/>
    <w:basedOn w:val="Normln"/>
    <w:next w:val="Normln"/>
    <w:uiPriority w:val="99"/>
    <w:semiHidden/>
    <w:unhideWhenUsed/>
    <w:rsid w:val="009B4A0A"/>
  </w:style>
  <w:style w:type="paragraph" w:styleId="Textbubliny">
    <w:name w:val="Balloon Text"/>
    <w:basedOn w:val="Normln"/>
    <w:link w:val="TextbublinyChar"/>
    <w:uiPriority w:val="99"/>
    <w:semiHidden/>
    <w:unhideWhenUsed/>
    <w:rsid w:val="00171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AE7"/>
    <w:rPr>
      <w:rFonts w:ascii="Tahoma" w:hAnsi="Tahoma" w:cs="Tahoma"/>
      <w:b/>
      <w:sz w:val="16"/>
      <w:szCs w:val="16"/>
      <w:lang w:val="cs-CZ" w:eastAsia="cs-CZ"/>
    </w:rPr>
  </w:style>
  <w:style w:type="paragraph" w:styleId="Zkladntextodsazen">
    <w:name w:val="Body Text Indent"/>
    <w:basedOn w:val="Normln"/>
    <w:link w:val="ZkladntextodsazenChar"/>
    <w:rsid w:val="00C073D0"/>
    <w:pPr>
      <w:suppressAutoHyphens/>
      <w:spacing w:line="240" w:lineRule="auto"/>
    </w:pPr>
    <w:rPr>
      <w:rFonts w:ascii="Times New Roman" w:eastAsia="Times New Roman" w:hAnsi="Times New Roman"/>
      <w:b w:val="0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073D0"/>
    <w:rPr>
      <w:rFonts w:ascii="Times New Roman" w:eastAsia="Times New Roman" w:hAnsi="Times New Roman"/>
      <w:sz w:val="24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w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EA69-3E8D-4A14-8FBE-F93A9B8E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33</Pages>
  <Words>2433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AQE advisors, a.s.</Company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Kamínek</dc:creator>
  <cp:keywords/>
  <dc:description/>
  <cp:lastModifiedBy>-</cp:lastModifiedBy>
  <cp:revision>84</cp:revision>
  <dcterms:created xsi:type="dcterms:W3CDTF">2017-03-13T12:57:00Z</dcterms:created>
  <dcterms:modified xsi:type="dcterms:W3CDTF">2017-05-26T06:14:00Z</dcterms:modified>
</cp:coreProperties>
</file>