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6"/>
        <w:gridCol w:w="7156"/>
      </w:tblGrid>
      <w:tr w:rsidR="009E1D71" w:rsidRPr="009E1D71" w:rsidTr="00584EE5">
        <w:trPr>
          <w:trHeight w:val="2077"/>
          <w:tblCellSpacing w:w="15" w:type="dxa"/>
        </w:trPr>
        <w:tc>
          <w:tcPr>
            <w:tcW w:w="0" w:type="auto"/>
            <w:vAlign w:val="center"/>
            <w:hideMark/>
          </w:tcPr>
          <w:p w:rsidR="009E1D71" w:rsidRPr="009E1D71" w:rsidRDefault="009E1D71" w:rsidP="009E1D71">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noProof/>
                <w:spacing w:val="24"/>
                <w:sz w:val="24"/>
                <w:szCs w:val="24"/>
                <w:lang w:eastAsia="cs-CZ"/>
              </w:rPr>
              <w:drawing>
                <wp:inline distT="0" distB="0" distL="0" distR="0" wp14:anchorId="29AF6F0C" wp14:editId="4A43F4B4">
                  <wp:extent cx="767080" cy="875030"/>
                  <wp:effectExtent l="0" t="0" r="0" b="127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080" cy="875030"/>
                          </a:xfrm>
                          <a:prstGeom prst="rect">
                            <a:avLst/>
                          </a:prstGeom>
                          <a:noFill/>
                          <a:ln>
                            <a:noFill/>
                          </a:ln>
                        </pic:spPr>
                      </pic:pic>
                    </a:graphicData>
                  </a:graphic>
                </wp:inline>
              </w:drawing>
            </w:r>
          </w:p>
        </w:tc>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081"/>
            </w:tblGrid>
            <w:tr w:rsidR="009E1D71" w:rsidRPr="009E1D71" w:rsidTr="00613BE3">
              <w:trPr>
                <w:tblCellSpacing w:w="15" w:type="dxa"/>
                <w:jc w:val="center"/>
              </w:trPr>
              <w:tc>
                <w:tcPr>
                  <w:tcW w:w="0" w:type="auto"/>
                  <w:tcBorders>
                    <w:top w:val="nil"/>
                  </w:tcBorders>
                  <w:vAlign w:val="center"/>
                  <w:hideMark/>
                </w:tcPr>
                <w:p w:rsidR="009E1D71" w:rsidRPr="009E1D71" w:rsidRDefault="009E1D71" w:rsidP="00584EE5">
                  <w:pPr>
                    <w:spacing w:after="0" w:line="240" w:lineRule="auto"/>
                    <w:jc w:val="center"/>
                    <w:rPr>
                      <w:rFonts w:ascii="Arial" w:eastAsia="Times New Roman" w:hAnsi="Arial" w:cs="Arial"/>
                      <w:b/>
                      <w:bCs/>
                      <w:sz w:val="36"/>
                      <w:szCs w:val="36"/>
                      <w:lang w:eastAsia="cs-CZ"/>
                    </w:rPr>
                  </w:pPr>
                  <w:r w:rsidRPr="009E1D71">
                    <w:rPr>
                      <w:rFonts w:ascii="Arial" w:eastAsia="Times New Roman" w:hAnsi="Arial" w:cs="Arial"/>
                      <w:b/>
                      <w:bCs/>
                      <w:sz w:val="36"/>
                      <w:szCs w:val="36"/>
                      <w:lang w:eastAsia="cs-CZ"/>
                    </w:rPr>
                    <w:t>Město Slavkov u Brna</w:t>
                  </w:r>
                </w:p>
              </w:tc>
            </w:tr>
            <w:tr w:rsidR="009E1D71" w:rsidRPr="009E1D71">
              <w:trPr>
                <w:tblCellSpacing w:w="15" w:type="dxa"/>
                <w:jc w:val="center"/>
              </w:trPr>
              <w:tc>
                <w:tcPr>
                  <w:tcW w:w="0" w:type="auto"/>
                  <w:vAlign w:val="center"/>
                  <w:hideMark/>
                </w:tcPr>
                <w:p w:rsidR="009E1D71" w:rsidRPr="009E1D71" w:rsidRDefault="009E1D71" w:rsidP="00584EE5">
                  <w:pPr>
                    <w:spacing w:after="0" w:line="240" w:lineRule="auto"/>
                    <w:jc w:val="center"/>
                    <w:rPr>
                      <w:rFonts w:ascii="Arial" w:eastAsia="Times New Roman" w:hAnsi="Arial" w:cs="Arial"/>
                      <w:caps/>
                      <w:spacing w:val="120"/>
                      <w:sz w:val="38"/>
                      <w:szCs w:val="38"/>
                      <w:lang w:eastAsia="cs-CZ"/>
                    </w:rPr>
                  </w:pPr>
                  <w:r w:rsidRPr="009E1D71">
                    <w:rPr>
                      <w:rFonts w:ascii="Arial" w:eastAsia="Times New Roman" w:hAnsi="Arial" w:cs="Arial"/>
                      <w:caps/>
                      <w:spacing w:val="120"/>
                      <w:sz w:val="38"/>
                      <w:szCs w:val="38"/>
                      <w:lang w:eastAsia="cs-CZ"/>
                    </w:rPr>
                    <w:t>usnesení</w:t>
                  </w:r>
                </w:p>
              </w:tc>
            </w:tr>
            <w:tr w:rsidR="009E1D71" w:rsidRPr="009E1D71">
              <w:trPr>
                <w:tblCellSpacing w:w="15" w:type="dxa"/>
                <w:jc w:val="center"/>
              </w:trPr>
              <w:tc>
                <w:tcPr>
                  <w:tcW w:w="0" w:type="auto"/>
                  <w:vAlign w:val="center"/>
                  <w:hideMark/>
                </w:tcPr>
                <w:p w:rsidR="009E1D71" w:rsidRPr="009E1D71" w:rsidRDefault="009E1D71" w:rsidP="00584EE5">
                  <w:pPr>
                    <w:spacing w:after="0" w:line="240" w:lineRule="auto"/>
                    <w:jc w:val="center"/>
                    <w:rPr>
                      <w:rFonts w:ascii="Arial" w:eastAsia="Times New Roman" w:hAnsi="Arial" w:cs="Arial"/>
                      <w:sz w:val="29"/>
                      <w:szCs w:val="29"/>
                      <w:lang w:eastAsia="cs-CZ"/>
                    </w:rPr>
                  </w:pPr>
                  <w:r w:rsidRPr="009E1D71">
                    <w:rPr>
                      <w:rFonts w:ascii="Arial" w:eastAsia="Times New Roman" w:hAnsi="Arial" w:cs="Arial"/>
                      <w:sz w:val="29"/>
                      <w:szCs w:val="29"/>
                      <w:lang w:eastAsia="cs-CZ"/>
                    </w:rPr>
                    <w:t>23. zasedání zastupitelstva města</w:t>
                  </w:r>
                </w:p>
              </w:tc>
            </w:tr>
            <w:tr w:rsidR="009E1D71" w:rsidRPr="009E1D71">
              <w:trPr>
                <w:tblCellSpacing w:w="15" w:type="dxa"/>
                <w:jc w:val="center"/>
              </w:trPr>
              <w:tc>
                <w:tcPr>
                  <w:tcW w:w="0" w:type="auto"/>
                  <w:vAlign w:val="center"/>
                  <w:hideMark/>
                </w:tcPr>
                <w:p w:rsidR="009E1D71" w:rsidRPr="009E1D71" w:rsidRDefault="009E1D71" w:rsidP="00584EE5">
                  <w:pPr>
                    <w:spacing w:after="0" w:line="240" w:lineRule="auto"/>
                    <w:jc w:val="center"/>
                    <w:rPr>
                      <w:rFonts w:ascii="Arial" w:eastAsia="Times New Roman" w:hAnsi="Arial" w:cs="Arial"/>
                      <w:sz w:val="29"/>
                      <w:szCs w:val="29"/>
                      <w:lang w:eastAsia="cs-CZ"/>
                    </w:rPr>
                  </w:pPr>
                  <w:r w:rsidRPr="009E1D71">
                    <w:rPr>
                      <w:rFonts w:ascii="Arial" w:eastAsia="Times New Roman" w:hAnsi="Arial" w:cs="Arial"/>
                      <w:sz w:val="29"/>
                      <w:szCs w:val="29"/>
                      <w:lang w:eastAsia="cs-CZ"/>
                    </w:rPr>
                    <w:t>konaného dne 26.3.2018</w:t>
                  </w:r>
                </w:p>
              </w:tc>
            </w:tr>
          </w:tbl>
          <w:p w:rsidR="009E1D71" w:rsidRPr="009E1D71" w:rsidRDefault="00584EE5" w:rsidP="009E1D71">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spacing w:val="24"/>
                <w:sz w:val="24"/>
                <w:szCs w:val="24"/>
                <w:lang w:eastAsia="cs-CZ"/>
              </w:rPr>
              <w:t>Číslo usnesení 447-455/23/ZM/2018</w:t>
            </w:r>
          </w:p>
        </w:tc>
      </w:tr>
      <w:tr w:rsidR="009E1D71" w:rsidRPr="009E1D71" w:rsidTr="009E1D71">
        <w:trPr>
          <w:tblCellSpacing w:w="15" w:type="dxa"/>
        </w:trPr>
        <w:tc>
          <w:tcPr>
            <w:tcW w:w="0" w:type="auto"/>
            <w:gridSpan w:val="2"/>
            <w:vAlign w:val="center"/>
            <w:hideMark/>
          </w:tcPr>
          <w:p w:rsidR="009E1D71" w:rsidRPr="009E1D71" w:rsidRDefault="009E1D71" w:rsidP="009E1D71">
            <w:pPr>
              <w:spacing w:after="0" w:line="240" w:lineRule="auto"/>
              <w:jc w:val="center"/>
              <w:rPr>
                <w:rFonts w:ascii="Times New Roman" w:eastAsia="Times New Roman" w:hAnsi="Times New Roman" w:cs="Times New Roman"/>
                <w:spacing w:val="24"/>
                <w:sz w:val="24"/>
                <w:szCs w:val="24"/>
                <w:lang w:eastAsia="cs-CZ"/>
              </w:rPr>
            </w:pPr>
            <w:r w:rsidRPr="009E1D71">
              <w:rPr>
                <w:rFonts w:ascii="Times New Roman" w:eastAsia="Times New Roman" w:hAnsi="Times New Roman" w:cs="Times New Roman"/>
                <w:spacing w:val="24"/>
                <w:sz w:val="24"/>
                <w:szCs w:val="24"/>
                <w:lang w:eastAsia="cs-CZ"/>
              </w:rPr>
              <w:pict>
                <v:rect id="_x0000_i1025" style="width:453.6pt;height:.75pt" o:hralign="center" o:hrstd="t" o:hr="t" fillcolor="#a0a0a0" stroked="f"/>
              </w:pict>
            </w:r>
          </w:p>
        </w:tc>
      </w:tr>
    </w:tbl>
    <w:p w:rsidR="004A5389" w:rsidRDefault="004A5389" w:rsidP="004A5389">
      <w:pPr>
        <w:spacing w:after="0" w:line="240" w:lineRule="auto"/>
        <w:jc w:val="center"/>
        <w:rPr>
          <w:rFonts w:ascii="Times New Roman" w:eastAsia="Times New Roman" w:hAnsi="Times New Roman" w:cs="Times New Roman"/>
          <w:b/>
          <w:bCs/>
          <w:sz w:val="24"/>
          <w:szCs w:val="24"/>
          <w:u w:val="single"/>
          <w:lang w:eastAsia="cs-CZ"/>
        </w:rPr>
      </w:pPr>
    </w:p>
    <w:p w:rsidR="009E1D71" w:rsidRPr="009E1D71" w:rsidRDefault="009E1D71" w:rsidP="004A5389">
      <w:pPr>
        <w:spacing w:after="0" w:line="240" w:lineRule="auto"/>
        <w:jc w:val="center"/>
        <w:rPr>
          <w:rFonts w:ascii="Times New Roman" w:eastAsia="Times New Roman" w:hAnsi="Times New Roman" w:cs="Times New Roman"/>
          <w:b/>
          <w:bCs/>
          <w:sz w:val="24"/>
          <w:szCs w:val="24"/>
          <w:u w:val="single"/>
          <w:lang w:eastAsia="cs-CZ"/>
        </w:rPr>
      </w:pPr>
      <w:r w:rsidRPr="009E1D71">
        <w:rPr>
          <w:rFonts w:ascii="Times New Roman" w:eastAsia="Times New Roman" w:hAnsi="Times New Roman" w:cs="Times New Roman"/>
          <w:b/>
          <w:bCs/>
          <w:sz w:val="24"/>
          <w:szCs w:val="24"/>
          <w:u w:val="single"/>
          <w:lang w:eastAsia="cs-CZ"/>
        </w:rPr>
        <w:t>Soubor rozpočtových opatření</w:t>
      </w:r>
      <w:r w:rsidR="004A5389">
        <w:rPr>
          <w:rFonts w:ascii="Times New Roman" w:eastAsia="Times New Roman" w:hAnsi="Times New Roman" w:cs="Times New Roman"/>
          <w:b/>
          <w:bCs/>
          <w:sz w:val="24"/>
          <w:szCs w:val="24"/>
          <w:u w:val="single"/>
          <w:lang w:eastAsia="cs-CZ"/>
        </w:rPr>
        <w:t xml:space="preserve"> 13-20</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b/>
          <w:bCs/>
          <w:sz w:val="24"/>
          <w:szCs w:val="24"/>
          <w:lang w:eastAsia="cs-CZ"/>
        </w:rPr>
        <w:t>Rozpočtové opatření č. 13 - MND - průzkum území</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Moravské naftové doly zaslaly avízo k platbě za průzkumné území SVAHY ČESKÉHO MASÍVU na základě rozhodnutí MŽP ČR za 15. rok užívání ve výši 147 547 Kč. Ve stejné výši bude napojena na výdajovou stranu rozpočtu OVV - Nespecifikované rezervy.</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b/>
          <w:bCs/>
          <w:sz w:val="24"/>
          <w:szCs w:val="24"/>
          <w:lang w:eastAsia="cs-CZ"/>
        </w:rPr>
        <w:t>Rozpočtové opatření č. 14 -  Navýšení položky - Výkupy pozemků</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Odbor IR předložil návrh rozpočtového opatření - navýšení položky rozpočtu IR - Výkupy pozemků o částku 6,1 mil. Kč.  Jedná se o pozemek p. č. 964 zastavěná plocha a nádvoří ve výlučném vlastnictví SJM Rudolfových a pozemek p. č. 965 zahrada, jehož jsou manželé Rudolfovi spoluvlastníci s panem Stanislavem Olbrichtem. Položka bude hrazena zapojením nevyčerpaných prostředků z minulých let.</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b/>
          <w:bCs/>
          <w:sz w:val="24"/>
          <w:szCs w:val="24"/>
          <w:lang w:eastAsia="cs-CZ"/>
        </w:rPr>
        <w:t>Rozpočtové opatření č. 15 - Oslava 100 let republiky</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OVV</w:t>
      </w:r>
      <w:r w:rsidRPr="009E1D71">
        <w:rPr>
          <w:rFonts w:ascii="Times New Roman" w:eastAsia="Times New Roman" w:hAnsi="Times New Roman" w:cs="Times New Roman"/>
          <w:b/>
          <w:bCs/>
          <w:sz w:val="24"/>
          <w:szCs w:val="24"/>
          <w:lang w:eastAsia="cs-CZ"/>
        </w:rPr>
        <w:t xml:space="preserve"> </w:t>
      </w:r>
      <w:r w:rsidRPr="009E1D71">
        <w:rPr>
          <w:rFonts w:ascii="Times New Roman" w:eastAsia="Times New Roman" w:hAnsi="Times New Roman" w:cs="Times New Roman"/>
          <w:sz w:val="24"/>
          <w:szCs w:val="24"/>
          <w:lang w:eastAsia="cs-CZ"/>
        </w:rPr>
        <w:t>navrhl rozpočtové opatření ve výši 200 000 Kč k zajištění oslav 100. výročí vzniku republiky a slavnostního odhalení památníku padlých hrdinů I. a II. světové války. Položka bude hrazena zapojením nevyčerpaných prostředků  minulých let.</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b/>
          <w:bCs/>
          <w:sz w:val="24"/>
          <w:szCs w:val="24"/>
          <w:lang w:eastAsia="cs-CZ"/>
        </w:rPr>
        <w:t>Rozpočtové opatření č. 16 - Parkovací plocha Kaunicova</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xml:space="preserve">Město Slavkov u Brna uzavřelo se společností SKR STAV, s.r.o. smlouvu o spolupráci, kde se město zavázalo k vybudování parkovacích stání a provedení sadových úprav na ulici Kaunicova. </w:t>
      </w:r>
      <w:r w:rsidR="00613BE3" w:rsidRPr="009E1D71">
        <w:rPr>
          <w:rFonts w:ascii="Times New Roman" w:eastAsia="Times New Roman" w:hAnsi="Times New Roman" w:cs="Times New Roman"/>
          <w:sz w:val="24"/>
          <w:szCs w:val="24"/>
          <w:lang w:eastAsia="cs-CZ"/>
        </w:rPr>
        <w:t xml:space="preserve">Jedná se o vybudování 25 kolmých parkovacích stání. </w:t>
      </w:r>
      <w:r w:rsidRPr="009E1D71">
        <w:rPr>
          <w:rFonts w:ascii="Times New Roman" w:eastAsia="Times New Roman" w:hAnsi="Times New Roman" w:cs="Times New Roman"/>
          <w:sz w:val="24"/>
          <w:szCs w:val="24"/>
          <w:lang w:eastAsia="cs-CZ"/>
        </w:rPr>
        <w:t>Náklady se mohou pohybovat okolo 1 mil. Kč., doporučujeme tedy schválit rozpočtové opatření v navrhované výši. Položka bude hrazena zapojením nevyčerpaných prostředků  minulých let.</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b/>
          <w:bCs/>
          <w:sz w:val="24"/>
          <w:szCs w:val="24"/>
          <w:lang w:eastAsia="cs-CZ"/>
        </w:rPr>
        <w:t xml:space="preserve">Rozpočtové opatření č. 17 -  Vrácení vratitelného přeplatku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Na základě podané žádosti na Finanční úřad pro Jihomoravský kraj, Územní pracoviště ve Vyškově o vrácení vratitelného přeplatku ze dne 12.2.2018 byla na účet města uvolněna částka 117 331 Kč. Přeplatek města Slavkov u Brna vznikl v souvislosti s finančním plněním za porušení rozpočtové kázně  u dotace ze SFŽP "Systém nakládání s bioodpady a kompostárna pro město Slavkov u Brna" z OPŽP a s platným rozhodnutím GFŘ o prominutí daně. Na výdajové straně rozpočtu bude navýšena položka OVV - nespecifikované rezervy.</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b/>
          <w:bCs/>
          <w:sz w:val="24"/>
          <w:szCs w:val="24"/>
          <w:lang w:eastAsia="cs-CZ"/>
        </w:rPr>
        <w:t xml:space="preserve">Rozpočtové opatření č. 18 - DSO ŽLaP - spoluúčast dotace "Prevence vzniku BRKO  DSO ŽLaP"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DSO ŽLaP požádal dne 5.3.2018 o zaslání mimořádného příspěvku ve výši  210 000 Kč. Výše příspěvku je stanovena jako 15% spoluúčast města Slavkov u Brna  na celkových nákladech dotace " Prevence vzniku BRKO DSO ŽLaP" z této dotace jsou  pořízeny domácí kompostéry pro občany města. Výdajová položka bude hrazena z položky OVV - Nespecifikované rezervy.</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lastRenderedPageBreak/>
        <w:t>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b/>
          <w:bCs/>
          <w:sz w:val="24"/>
          <w:szCs w:val="24"/>
          <w:lang w:eastAsia="cs-CZ"/>
        </w:rPr>
        <w:t>Rozpočtové opatření č. 19 - MěP - Kamerový systém I. etapa</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Cílem záměru je osadit kamerový systém Palackého náměstí a příjezdové cesty, celkové náklady kolem 1,5 mil. Kč. Z těchto důvodů je projekt rozdělen do několika etap, které se budou postupně realizovat, v návaznosti na zapojení nerozpočtovaných příjmů z úsekového měření rychlosti.  V první etapě bude provedena výměna starého kamerového systému v celkové výši 600 000 Kč. Kamera na křižovatce ul. Husova - Palackého nám., kamera na budově  pošty a panském domě - 1 kamera cca. 70 000 Kč, nový software přibližně 182 000 Kč (pro 24 kamer), který umožní monitorování, nahrávání a uchování megapixelových kamer, materiál a práce. Staré kamery by byly umístěny na stadion. Výdajová položka bude hrazena z položky OVV - Nespecifikované rezervy.</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b/>
          <w:bCs/>
          <w:sz w:val="24"/>
          <w:szCs w:val="24"/>
          <w:lang w:eastAsia="cs-CZ"/>
        </w:rPr>
        <w:t>Rozpočtové opatření č. 20 -  JSDH vrata - spoluúčast dotace JMK</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Oddělením IR byla podána žádost o dotaci JMK na instalaci 3 ks automaticky otevíracích vrat na budově hasičské stanice ul. Malinovského. Celkové náklady projektu jsou stanoveny cca. 659 000 Kč. JMK kraj poskytuje dotaci maximálně do výše 70% celkových uznatelných nákladů (maximální částka cca. 461 300 Kč) a spoluúčast města ve výši 30% (minimální částka 197 700 Kč). IR doporučuje schválit rozpočtové opatření ve výši 250 000 Kč. Výdajová položka bude hrazena z položky OVV - Nespecifikované rezervy.</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sz w:val="24"/>
          <w:szCs w:val="24"/>
          <w:lang w:eastAsia="cs-CZ"/>
        </w:rPr>
        <w:t> </w:t>
      </w:r>
    </w:p>
    <w:p w:rsidR="009E1D71" w:rsidRPr="009E1D71" w:rsidRDefault="009E1D71" w:rsidP="009E1D71">
      <w:pPr>
        <w:spacing w:after="0" w:line="240" w:lineRule="auto"/>
        <w:jc w:val="both"/>
        <w:rPr>
          <w:rFonts w:ascii="Times New Roman" w:eastAsia="Times New Roman" w:hAnsi="Times New Roman" w:cs="Times New Roman"/>
          <w:b/>
          <w:bCs/>
          <w:sz w:val="24"/>
          <w:szCs w:val="24"/>
          <w:lang w:eastAsia="cs-CZ"/>
        </w:rPr>
      </w:pPr>
      <w:r w:rsidRPr="009E1D71">
        <w:rPr>
          <w:rFonts w:ascii="Times New Roman" w:eastAsia="Times New Roman" w:hAnsi="Times New Roman" w:cs="Times New Roman"/>
          <w:b/>
          <w:bCs/>
          <w:sz w:val="24"/>
          <w:szCs w:val="24"/>
          <w:lang w:eastAsia="cs-CZ"/>
        </w:rPr>
        <w:t>I. Zastupitelstvo města schvaluje</w:t>
      </w:r>
    </w:p>
    <w:p w:rsidR="009E1D71" w:rsidRPr="009E1D71" w:rsidRDefault="009E1D71" w:rsidP="009E1D71">
      <w:pPr>
        <w:spacing w:after="0" w:line="240" w:lineRule="auto"/>
        <w:jc w:val="both"/>
        <w:rPr>
          <w:rFonts w:ascii="Times New Roman" w:eastAsia="Times New Roman" w:hAnsi="Times New Roman" w:cs="Times New Roman"/>
          <w:sz w:val="24"/>
          <w:szCs w:val="24"/>
          <w:lang w:eastAsia="cs-CZ"/>
        </w:rPr>
      </w:pPr>
      <w:r w:rsidRPr="009E1D71">
        <w:rPr>
          <w:rFonts w:ascii="Times New Roman" w:eastAsia="Times New Roman" w:hAnsi="Times New Roman" w:cs="Times New Roman"/>
          <w:b/>
          <w:bCs/>
          <w:sz w:val="24"/>
          <w:szCs w:val="24"/>
          <w:lang w:eastAsia="cs-CZ"/>
        </w:rPr>
        <w:t>rozpočtová opatření v předloženém znění takto:</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491"/>
        <w:gridCol w:w="536"/>
        <w:gridCol w:w="544"/>
        <w:gridCol w:w="544"/>
        <w:gridCol w:w="530"/>
        <w:gridCol w:w="352"/>
        <w:gridCol w:w="3748"/>
        <w:gridCol w:w="983"/>
        <w:gridCol w:w="1026"/>
      </w:tblGrid>
      <w:tr w:rsidR="00613BE3" w:rsidRPr="00613BE3" w:rsidTr="00613BE3">
        <w:trPr>
          <w:tblCellSpacing w:w="7" w:type="dxa"/>
        </w:trPr>
        <w:tc>
          <w:tcPr>
            <w:tcW w:w="21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RO</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ORJ</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Odd.</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Pol.</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ORG</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ÚZ</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Text</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Příjmy (Kč)</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FC6990">
            <w:pPr>
              <w:spacing w:after="0" w:line="240" w:lineRule="auto"/>
              <w:jc w:val="center"/>
              <w:rPr>
                <w:rFonts w:ascii="Times New Roman" w:eastAsia="Times New Roman" w:hAnsi="Times New Roman" w:cs="Times New Roman"/>
                <w:b/>
                <w:sz w:val="20"/>
                <w:szCs w:val="20"/>
                <w:lang w:eastAsia="cs-CZ"/>
              </w:rPr>
            </w:pPr>
            <w:r w:rsidRPr="009E1D71">
              <w:rPr>
                <w:rFonts w:ascii="Times New Roman" w:eastAsia="Times New Roman" w:hAnsi="Times New Roman" w:cs="Times New Roman"/>
                <w:b/>
                <w:sz w:val="20"/>
                <w:szCs w:val="20"/>
                <w:lang w:eastAsia="cs-CZ"/>
              </w:rPr>
              <w:t>Výdaje (Kč)</w:t>
            </w:r>
          </w:p>
        </w:tc>
      </w:tr>
      <w:tr w:rsidR="00613BE3" w:rsidRPr="00613BE3" w:rsidTr="00613BE3">
        <w:trPr>
          <w:tblCellSpacing w:w="7" w:type="dxa"/>
        </w:trPr>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13</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22</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1356</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ŽP - MND - průzkum území</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147 600</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r>
      <w:tr w:rsidR="00613BE3" w:rsidRPr="00613BE3" w:rsidTr="00613BE3">
        <w:trPr>
          <w:tblCellSpacing w:w="7" w:type="dxa"/>
        </w:trPr>
        <w:tc>
          <w:tcPr>
            <w:tcW w:w="214" w:type="pct"/>
            <w:vMerge/>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6409</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5901</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OVV - Navýšení pol.-  nespecifikované rezervy</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147 600</w:t>
            </w:r>
          </w:p>
        </w:tc>
      </w:tr>
      <w:tr w:rsidR="00613BE3" w:rsidRPr="00613BE3" w:rsidTr="00613BE3">
        <w:trPr>
          <w:tblCellSpacing w:w="7" w:type="dxa"/>
        </w:trPr>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14</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35</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8115</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FO - Změna stavu kr. pr. na bank. účtech</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6 100 000</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r>
      <w:tr w:rsidR="00613BE3" w:rsidRPr="00613BE3" w:rsidTr="00613BE3">
        <w:trPr>
          <w:tblCellSpacing w:w="7" w:type="dxa"/>
        </w:trPr>
        <w:tc>
          <w:tcPr>
            <w:tcW w:w="214" w:type="pct"/>
            <w:vMerge/>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40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41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3639</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6130</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55</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IR - Navýšení položky - výkupy pozemků</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6 100 000</w:t>
            </w:r>
          </w:p>
        </w:tc>
      </w:tr>
      <w:tr w:rsidR="00613BE3" w:rsidRPr="00613BE3" w:rsidTr="00613BE3">
        <w:trPr>
          <w:tblCellSpacing w:w="7" w:type="dxa"/>
        </w:trPr>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15</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35</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8115</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FO - Změna stavu kr. pr. na bank. účtech</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200 000</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r>
      <w:tr w:rsidR="00613BE3" w:rsidRPr="00613BE3" w:rsidTr="00613BE3">
        <w:trPr>
          <w:tblCellSpacing w:w="7" w:type="dxa"/>
        </w:trPr>
        <w:tc>
          <w:tcPr>
            <w:tcW w:w="214" w:type="pct"/>
            <w:vMerge/>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3399</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5169</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OVV - Oslava 100 let republiky</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200 000</w:t>
            </w:r>
          </w:p>
        </w:tc>
      </w:tr>
      <w:tr w:rsidR="00613BE3" w:rsidRPr="00613BE3" w:rsidTr="00613BE3">
        <w:trPr>
          <w:tblCellSpacing w:w="7" w:type="dxa"/>
        </w:trPr>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16</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35</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8115</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FO - Změna stavu kr. pr. na bank. účtech</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1 000 000</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r>
      <w:tr w:rsidR="00613BE3" w:rsidRPr="00613BE3" w:rsidTr="00613BE3">
        <w:trPr>
          <w:tblCellSpacing w:w="7" w:type="dxa"/>
        </w:trPr>
        <w:tc>
          <w:tcPr>
            <w:tcW w:w="214" w:type="pct"/>
            <w:vMerge/>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40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41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2219</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6121</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524</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IR - Parkovací plocha Kaunicova - SKR STAV</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1 000 000</w:t>
            </w:r>
          </w:p>
        </w:tc>
      </w:tr>
      <w:tr w:rsidR="00613BE3" w:rsidRPr="00613BE3" w:rsidTr="00613BE3">
        <w:trPr>
          <w:tblCellSpacing w:w="7" w:type="dxa"/>
        </w:trPr>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17</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36</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6171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2211</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FO - Vratitelný přeplatek FÚ</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117 400</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r>
      <w:tr w:rsidR="00613BE3" w:rsidRPr="00613BE3" w:rsidTr="00613BE3">
        <w:trPr>
          <w:tblCellSpacing w:w="7" w:type="dxa"/>
        </w:trPr>
        <w:tc>
          <w:tcPr>
            <w:tcW w:w="214" w:type="pct"/>
            <w:vMerge/>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6409</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5901</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OVV - Navýšení položky - nespecifikované  rezervy</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117 400</w:t>
            </w:r>
          </w:p>
        </w:tc>
      </w:tr>
      <w:tr w:rsidR="00613BE3" w:rsidRPr="00613BE3" w:rsidTr="00613BE3">
        <w:trPr>
          <w:tblCellSpacing w:w="7" w:type="dxa"/>
        </w:trPr>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18</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36</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3639</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5329</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405</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FO - DSO ŽLaP - spoluúčast dotace - kompostéry</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210 000</w:t>
            </w:r>
          </w:p>
        </w:tc>
      </w:tr>
      <w:tr w:rsidR="00613BE3" w:rsidRPr="00613BE3" w:rsidTr="00613BE3">
        <w:trPr>
          <w:tblCellSpacing w:w="7" w:type="dxa"/>
        </w:trPr>
        <w:tc>
          <w:tcPr>
            <w:tcW w:w="214" w:type="pct"/>
            <w:vMerge/>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6409</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5901</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OVV - Snížení položky - nespecifikované rezervy</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-210 000</w:t>
            </w:r>
          </w:p>
        </w:tc>
      </w:tr>
      <w:tr w:rsidR="00613BE3" w:rsidRPr="00613BE3" w:rsidTr="00613BE3">
        <w:trPr>
          <w:tblCellSpacing w:w="7" w:type="dxa"/>
        </w:trPr>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19</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90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90</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5311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6122</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MěP - Kamerový systém I. etapa</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600 000</w:t>
            </w:r>
          </w:p>
        </w:tc>
      </w:tr>
      <w:tr w:rsidR="00613BE3" w:rsidRPr="00613BE3" w:rsidTr="00613BE3">
        <w:trPr>
          <w:tblCellSpacing w:w="7" w:type="dxa"/>
        </w:trPr>
        <w:tc>
          <w:tcPr>
            <w:tcW w:w="214" w:type="pct"/>
            <w:vMerge/>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6409</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5901</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OVV - Snížení položky - nespecifikované rezervy</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-600 000</w:t>
            </w:r>
          </w:p>
        </w:tc>
      </w:tr>
      <w:tr w:rsidR="00613BE3" w:rsidRPr="00613BE3" w:rsidTr="00613BE3">
        <w:trPr>
          <w:tblCellSpacing w:w="7" w:type="dxa"/>
        </w:trPr>
        <w:tc>
          <w:tcPr>
            <w:tcW w:w="214" w:type="pct"/>
            <w:vMerge w:val="restar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20</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40</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41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5512</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6122</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541</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IR - JSDH vrata - spoluúčast dotace</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250 000</w:t>
            </w:r>
          </w:p>
        </w:tc>
      </w:tr>
      <w:tr w:rsidR="00613BE3" w:rsidRPr="00613BE3" w:rsidTr="00613BE3">
        <w:trPr>
          <w:tblCellSpacing w:w="7" w:type="dxa"/>
        </w:trPr>
        <w:tc>
          <w:tcPr>
            <w:tcW w:w="214" w:type="pct"/>
            <w:vMerge/>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89"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71</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6409</w:t>
            </w:r>
          </w:p>
        </w:tc>
        <w:tc>
          <w:tcPr>
            <w:tcW w:w="29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5901</w:t>
            </w:r>
          </w:p>
        </w:tc>
        <w:tc>
          <w:tcPr>
            <w:tcW w:w="264"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171"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2042"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OVV - Snížení položky - nespecifikované rezervy</w:t>
            </w:r>
          </w:p>
        </w:tc>
        <w:tc>
          <w:tcPr>
            <w:tcW w:w="53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tc>
        <w:tc>
          <w:tcPr>
            <w:tcW w:w="553" w:type="pct"/>
            <w:tcBorders>
              <w:top w:val="outset" w:sz="6" w:space="0" w:color="auto"/>
              <w:left w:val="outset" w:sz="6" w:space="0" w:color="auto"/>
              <w:bottom w:val="outset" w:sz="6" w:space="0" w:color="auto"/>
              <w:right w:val="outset" w:sz="6" w:space="0" w:color="auto"/>
            </w:tcBorders>
            <w:vAlign w:val="center"/>
            <w:hideMark/>
          </w:tcPr>
          <w:p w:rsidR="009E1D71" w:rsidRPr="009E1D71" w:rsidRDefault="009E1D71" w:rsidP="009E1D71">
            <w:pPr>
              <w:spacing w:after="0" w:line="240" w:lineRule="auto"/>
              <w:jc w:val="right"/>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-250 000</w:t>
            </w:r>
          </w:p>
        </w:tc>
      </w:tr>
    </w:tbl>
    <w:p w:rsidR="009E1D71" w:rsidRPr="009E1D71" w:rsidRDefault="009E1D71" w:rsidP="009E1D71">
      <w:pPr>
        <w:spacing w:after="0" w:line="240" w:lineRule="auto"/>
        <w:jc w:val="both"/>
        <w:rPr>
          <w:rFonts w:ascii="Times New Roman" w:eastAsia="Times New Roman" w:hAnsi="Times New Roman" w:cs="Times New Roman"/>
          <w:sz w:val="20"/>
          <w:szCs w:val="20"/>
          <w:lang w:eastAsia="cs-CZ"/>
        </w:rPr>
      </w:pPr>
      <w:r w:rsidRPr="009E1D71">
        <w:rPr>
          <w:rFonts w:ascii="Times New Roman" w:eastAsia="Times New Roman" w:hAnsi="Times New Roman" w:cs="Times New Roman"/>
          <w:sz w:val="20"/>
          <w:szCs w:val="20"/>
          <w:lang w:eastAsia="cs-CZ"/>
        </w:rPr>
        <w:t> </w:t>
      </w:r>
    </w:p>
    <w:p w:rsidR="009E1D71" w:rsidRPr="009E1D71" w:rsidRDefault="009E1D71" w:rsidP="009E1D71">
      <w:pPr>
        <w:spacing w:after="0" w:line="240" w:lineRule="auto"/>
        <w:jc w:val="both"/>
        <w:rPr>
          <w:rFonts w:ascii="Times New Roman" w:eastAsia="Times New Roman" w:hAnsi="Times New Roman" w:cs="Times New Roman"/>
          <w:sz w:val="20"/>
          <w:szCs w:val="20"/>
          <w:lang w:eastAsia="cs-CZ"/>
        </w:rPr>
      </w:pPr>
      <w:bookmarkStart w:id="0" w:name="_GoBack"/>
      <w:bookmarkEnd w:id="0"/>
    </w:p>
    <w:p w:rsidR="009E1D71" w:rsidRPr="009E1D71" w:rsidRDefault="009E1D71" w:rsidP="009E1D71">
      <w:pPr>
        <w:spacing w:after="0" w:line="240" w:lineRule="auto"/>
        <w:jc w:val="both"/>
        <w:rPr>
          <w:rFonts w:ascii="Times New Roman" w:eastAsia="Times New Roman" w:hAnsi="Times New Roman" w:cs="Times New Roman"/>
          <w:vanish/>
          <w:sz w:val="24"/>
          <w:szCs w:val="24"/>
          <w:lang w:eastAsia="cs-CZ"/>
        </w:rPr>
      </w:pPr>
    </w:p>
    <w:sectPr w:rsidR="009E1D71" w:rsidRPr="009E1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71"/>
    <w:rsid w:val="003D1DC0"/>
    <w:rsid w:val="004A5389"/>
    <w:rsid w:val="00584EE5"/>
    <w:rsid w:val="00613BE3"/>
    <w:rsid w:val="00825601"/>
    <w:rsid w:val="009E1D71"/>
    <w:rsid w:val="00FC6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E1D71"/>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E1D71"/>
    <w:rPr>
      <w:b/>
      <w:bCs/>
    </w:rPr>
  </w:style>
  <w:style w:type="character" w:styleId="Zvraznn">
    <w:name w:val="Emphasis"/>
    <w:basedOn w:val="Standardnpsmoodstavce"/>
    <w:uiPriority w:val="20"/>
    <w:qFormat/>
    <w:rsid w:val="009E1D71"/>
    <w:rPr>
      <w:i/>
      <w:iCs/>
    </w:rPr>
  </w:style>
  <w:style w:type="paragraph" w:styleId="Textbubliny">
    <w:name w:val="Balloon Text"/>
    <w:basedOn w:val="Normln"/>
    <w:link w:val="TextbublinyChar"/>
    <w:uiPriority w:val="99"/>
    <w:semiHidden/>
    <w:unhideWhenUsed/>
    <w:rsid w:val="009E1D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1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E1D71"/>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E1D71"/>
    <w:rPr>
      <w:b/>
      <w:bCs/>
    </w:rPr>
  </w:style>
  <w:style w:type="character" w:styleId="Zvraznn">
    <w:name w:val="Emphasis"/>
    <w:basedOn w:val="Standardnpsmoodstavce"/>
    <w:uiPriority w:val="20"/>
    <w:qFormat/>
    <w:rsid w:val="009E1D71"/>
    <w:rPr>
      <w:i/>
      <w:iCs/>
    </w:rPr>
  </w:style>
  <w:style w:type="paragraph" w:styleId="Textbubliny">
    <w:name w:val="Balloon Text"/>
    <w:basedOn w:val="Normln"/>
    <w:link w:val="TextbublinyChar"/>
    <w:uiPriority w:val="99"/>
    <w:semiHidden/>
    <w:unhideWhenUsed/>
    <w:rsid w:val="009E1D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1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1495">
      <w:bodyDiv w:val="1"/>
      <w:marLeft w:val="0"/>
      <w:marRight w:val="0"/>
      <w:marTop w:val="0"/>
      <w:marBottom w:val="0"/>
      <w:divBdr>
        <w:top w:val="none" w:sz="0" w:space="0" w:color="auto"/>
        <w:left w:val="none" w:sz="0" w:space="0" w:color="auto"/>
        <w:bottom w:val="none" w:sz="0" w:space="0" w:color="auto"/>
        <w:right w:val="none" w:sz="0" w:space="0" w:color="auto"/>
      </w:divBdr>
      <w:divsChild>
        <w:div w:id="776287853">
          <w:marLeft w:val="0"/>
          <w:marRight w:val="0"/>
          <w:marTop w:val="216"/>
          <w:marBottom w:val="0"/>
          <w:divBdr>
            <w:top w:val="none" w:sz="0" w:space="0" w:color="auto"/>
            <w:left w:val="none" w:sz="0" w:space="0" w:color="auto"/>
            <w:bottom w:val="none" w:sz="0" w:space="0" w:color="auto"/>
            <w:right w:val="none" w:sz="0" w:space="0" w:color="auto"/>
          </w:divBdr>
        </w:div>
        <w:div w:id="263924660">
          <w:marLeft w:val="0"/>
          <w:marRight w:val="0"/>
          <w:marTop w:val="384"/>
          <w:marBottom w:val="0"/>
          <w:divBdr>
            <w:top w:val="none" w:sz="0" w:space="0" w:color="auto"/>
            <w:left w:val="none" w:sz="0" w:space="0" w:color="auto"/>
            <w:bottom w:val="none" w:sz="0" w:space="0" w:color="auto"/>
            <w:right w:val="none" w:sz="0" w:space="0" w:color="auto"/>
          </w:divBdr>
        </w:div>
        <w:div w:id="827669384">
          <w:marLeft w:val="0"/>
          <w:marRight w:val="0"/>
          <w:marTop w:val="216"/>
          <w:marBottom w:val="0"/>
          <w:divBdr>
            <w:top w:val="none" w:sz="0" w:space="0" w:color="auto"/>
            <w:left w:val="none" w:sz="0" w:space="0" w:color="auto"/>
            <w:bottom w:val="none" w:sz="0" w:space="0" w:color="auto"/>
            <w:right w:val="none" w:sz="0" w:space="0" w:color="auto"/>
          </w:divBdr>
        </w:div>
        <w:div w:id="1727796744">
          <w:marLeft w:val="0"/>
          <w:marRight w:val="0"/>
          <w:marTop w:val="384"/>
          <w:marBottom w:val="0"/>
          <w:divBdr>
            <w:top w:val="none" w:sz="0" w:space="0" w:color="auto"/>
            <w:left w:val="none" w:sz="0" w:space="0" w:color="auto"/>
            <w:bottom w:val="none" w:sz="0" w:space="0" w:color="auto"/>
            <w:right w:val="none" w:sz="0" w:space="0" w:color="auto"/>
          </w:divBdr>
        </w:div>
        <w:div w:id="1282885885">
          <w:marLeft w:val="0"/>
          <w:marRight w:val="0"/>
          <w:marTop w:val="384"/>
          <w:marBottom w:val="0"/>
          <w:divBdr>
            <w:top w:val="none" w:sz="0" w:space="0" w:color="auto"/>
            <w:left w:val="none" w:sz="0" w:space="0" w:color="auto"/>
            <w:bottom w:val="none" w:sz="0" w:space="0" w:color="auto"/>
            <w:right w:val="none" w:sz="0" w:space="0" w:color="auto"/>
          </w:divBdr>
        </w:div>
        <w:div w:id="798257109">
          <w:marLeft w:val="588"/>
          <w:marRight w:val="0"/>
          <w:marTop w:val="0"/>
          <w:marBottom w:val="0"/>
          <w:divBdr>
            <w:top w:val="none" w:sz="0" w:space="0" w:color="auto"/>
            <w:left w:val="none" w:sz="0" w:space="0" w:color="auto"/>
            <w:bottom w:val="none" w:sz="0" w:space="0" w:color="auto"/>
            <w:right w:val="none" w:sz="0" w:space="0" w:color="auto"/>
          </w:divBdr>
        </w:div>
        <w:div w:id="2048917823">
          <w:marLeft w:val="0"/>
          <w:marRight w:val="0"/>
          <w:marTop w:val="384"/>
          <w:marBottom w:val="0"/>
          <w:divBdr>
            <w:top w:val="none" w:sz="0" w:space="0" w:color="auto"/>
            <w:left w:val="none" w:sz="0" w:space="0" w:color="auto"/>
            <w:bottom w:val="none" w:sz="0" w:space="0" w:color="auto"/>
            <w:right w:val="none" w:sz="0" w:space="0" w:color="auto"/>
          </w:divBdr>
        </w:div>
        <w:div w:id="377584763">
          <w:marLeft w:val="588"/>
          <w:marRight w:val="0"/>
          <w:marTop w:val="0"/>
          <w:marBottom w:val="0"/>
          <w:divBdr>
            <w:top w:val="none" w:sz="0" w:space="0" w:color="auto"/>
            <w:left w:val="none" w:sz="0" w:space="0" w:color="auto"/>
            <w:bottom w:val="none" w:sz="0" w:space="0" w:color="auto"/>
            <w:right w:val="none" w:sz="0" w:space="0" w:color="auto"/>
          </w:divBdr>
        </w:div>
        <w:div w:id="675039461">
          <w:marLeft w:val="0"/>
          <w:marRight w:val="0"/>
          <w:marTop w:val="384"/>
          <w:marBottom w:val="0"/>
          <w:divBdr>
            <w:top w:val="none" w:sz="0" w:space="0" w:color="auto"/>
            <w:left w:val="none" w:sz="0" w:space="0" w:color="auto"/>
            <w:bottom w:val="none" w:sz="0" w:space="0" w:color="auto"/>
            <w:right w:val="none" w:sz="0" w:space="0" w:color="auto"/>
          </w:divBdr>
        </w:div>
        <w:div w:id="96947236">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2018-03-28T06:36:00Z</dcterms:created>
  <dcterms:modified xsi:type="dcterms:W3CDTF">2018-03-28T06:51:00Z</dcterms:modified>
</cp:coreProperties>
</file>