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ÚSC: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Slavkov u Brna 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Rozpočtový rok: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2017</w:t>
      </w:r>
    </w:p>
    <w:p w:rsidR="001105F0" w:rsidRDefault="001105F0" w:rsidP="001105F0">
      <w:pPr>
        <w:spacing w:line="276" w:lineRule="auto"/>
        <w:jc w:val="center"/>
      </w:pPr>
    </w:p>
    <w:p w:rsidR="001105F0" w:rsidRDefault="001105F0" w:rsidP="001105F0">
      <w:pPr>
        <w:spacing w:line="276" w:lineRule="auto"/>
        <w:jc w:val="center"/>
      </w:pPr>
    </w:p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Závěrečný účet města Slavkov u Brna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Plnění rozpočtu příjmů a výdajů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Hospodaření s majetkem města a další finanční operace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 xml:space="preserve">Tvorba a použití </w:t>
      </w:r>
      <w:r w:rsidR="00FB3D8D">
        <w:rPr>
          <w:b w:val="0"/>
        </w:rPr>
        <w:t xml:space="preserve">peněžních </w:t>
      </w:r>
      <w:r>
        <w:rPr>
          <w:b w:val="0"/>
        </w:rPr>
        <w:t>fondů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Vyúčtování finančních vztahů ke státnímu rozpočtu a ostatním rozpočtům veřejné úrovně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Hospodářská činnost města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Hospodaření příspěvkových organizací zřízených městem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Zpráva o výsledku přezkoumání hospodaření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 xml:space="preserve">Připomínky k návrhu závěrečného účtu mohou občané města Slavkov u Brna uplatnit písemně do </w:t>
      </w:r>
      <w:r w:rsidR="004C1120">
        <w:rPr>
          <w:b w:val="0"/>
        </w:rPr>
        <w:t>22. 5. 2018</w:t>
      </w:r>
      <w:r w:rsidR="00FB3D8D">
        <w:rPr>
          <w:b w:val="0"/>
        </w:rPr>
        <w:t xml:space="preserve"> </w:t>
      </w:r>
      <w:r>
        <w:rPr>
          <w:b w:val="0"/>
        </w:rPr>
        <w:t xml:space="preserve">nebo ústně </w:t>
      </w:r>
      <w:r w:rsidR="00FB3D8D">
        <w:rPr>
          <w:b w:val="0"/>
        </w:rPr>
        <w:t xml:space="preserve">při projednávání závěrečného účtu na </w:t>
      </w:r>
      <w:r>
        <w:rPr>
          <w:b w:val="0"/>
        </w:rPr>
        <w:t>zasedání zastupitelstva města Slavkov u Brna.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Veškeré podkladové materiály jsou k nahlédnutí na finančním odboru města Slavkov u Brna</w:t>
      </w:r>
      <w:r w:rsidR="00A658E0">
        <w:rPr>
          <w:b w:val="0"/>
        </w:rPr>
        <w:t>.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Zveřejněno: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Sňato: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pStyle w:val="Odstavecseseznamem"/>
        <w:numPr>
          <w:ilvl w:val="0"/>
          <w:numId w:val="11"/>
        </w:numPr>
        <w:spacing w:line="276" w:lineRule="auto"/>
      </w:pPr>
      <w:r>
        <w:lastRenderedPageBreak/>
        <w:t>Plnění rozpočtu příjmů a výdajů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 xml:space="preserve">Hospodaření města Slavkov u Brna za rok 2017 vykázalo </w:t>
      </w:r>
      <w:r w:rsidR="00CA6E1D">
        <w:rPr>
          <w:b w:val="0"/>
        </w:rPr>
        <w:t xml:space="preserve">záporné </w:t>
      </w:r>
      <w:r>
        <w:rPr>
          <w:b w:val="0"/>
        </w:rPr>
        <w:t xml:space="preserve">saldo příjmů a výdajů ve výši </w:t>
      </w:r>
      <w:r w:rsidR="00CA6E1D">
        <w:rPr>
          <w:b w:val="0"/>
        </w:rPr>
        <w:t>10 326 218,49 Kč</w:t>
      </w:r>
      <w:r>
        <w:rPr>
          <w:b w:val="0"/>
        </w:rPr>
        <w:t>.</w:t>
      </w:r>
      <w:r w:rsidR="00CA6E1D">
        <w:rPr>
          <w:b w:val="0"/>
        </w:rPr>
        <w:t xml:space="preserve"> 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Rozpočet města Slavkov u Brna na rok 201</w:t>
      </w:r>
      <w:r w:rsidR="00CA6E1D">
        <w:rPr>
          <w:b w:val="0"/>
        </w:rPr>
        <w:t>7</w:t>
      </w:r>
      <w:r>
        <w:rPr>
          <w:b w:val="0"/>
        </w:rPr>
        <w:t xml:space="preserve"> byl schválen zastupitelstvem města Slavkov u Brna dne 1</w:t>
      </w:r>
      <w:r w:rsidR="00CA6E1D">
        <w:rPr>
          <w:b w:val="0"/>
        </w:rPr>
        <w:t>2</w:t>
      </w:r>
      <w:r>
        <w:rPr>
          <w:b w:val="0"/>
        </w:rPr>
        <w:t>. 12. 201</w:t>
      </w:r>
      <w:r w:rsidR="00CA6E1D">
        <w:rPr>
          <w:b w:val="0"/>
        </w:rPr>
        <w:t>6 jako schodkový,</w:t>
      </w:r>
      <w:r>
        <w:rPr>
          <w:b w:val="0"/>
        </w:rPr>
        <w:t xml:space="preserve"> výš</w:t>
      </w:r>
      <w:r w:rsidR="00CA6E1D">
        <w:rPr>
          <w:b w:val="0"/>
        </w:rPr>
        <w:t>e</w:t>
      </w:r>
      <w:r>
        <w:rPr>
          <w:b w:val="0"/>
        </w:rPr>
        <w:t xml:space="preserve"> příjmů </w:t>
      </w:r>
      <w:r w:rsidR="00CA6E1D">
        <w:rPr>
          <w:b w:val="0"/>
        </w:rPr>
        <w:t>117 979 500</w:t>
      </w:r>
      <w:r>
        <w:rPr>
          <w:b w:val="0"/>
        </w:rPr>
        <w:t xml:space="preserve"> Kč a výdajů </w:t>
      </w:r>
      <w:r w:rsidR="00CA6E1D">
        <w:rPr>
          <w:b w:val="0"/>
        </w:rPr>
        <w:t>147 364 700</w:t>
      </w:r>
      <w:r>
        <w:rPr>
          <w:b w:val="0"/>
        </w:rPr>
        <w:t xml:space="preserve"> Kč. </w:t>
      </w:r>
      <w:r w:rsidR="00CA6E1D">
        <w:rPr>
          <w:b w:val="0"/>
        </w:rPr>
        <w:t xml:space="preserve">Saldo mezi příjmy a výdaji ve výši 29 385 200 Kč bylo kryto zapojením nevyčerpaných finančních prostředků minulých let (položka financování 8115). </w:t>
      </w:r>
      <w:r>
        <w:rPr>
          <w:b w:val="0"/>
        </w:rPr>
        <w:t xml:space="preserve">V průběhu roku se rozpočet rozpočtovými opatřeními navýšil u příjmů na </w:t>
      </w:r>
      <w:r w:rsidR="00C21DAA">
        <w:rPr>
          <w:b w:val="0"/>
        </w:rPr>
        <w:t>175 956 200</w:t>
      </w:r>
      <w:r>
        <w:rPr>
          <w:b w:val="0"/>
        </w:rPr>
        <w:t xml:space="preserve"> Kč, u výdajů na </w:t>
      </w:r>
      <w:r w:rsidR="00C21DAA">
        <w:rPr>
          <w:b w:val="0"/>
        </w:rPr>
        <w:t>220 607 300</w:t>
      </w:r>
      <w:r>
        <w:rPr>
          <w:b w:val="0"/>
        </w:rPr>
        <w:t xml:space="preserve"> Kč.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K datu  31. 12. 201</w:t>
      </w:r>
      <w:r w:rsidR="00C21DAA">
        <w:rPr>
          <w:b w:val="0"/>
        </w:rPr>
        <w:t>7</w:t>
      </w:r>
      <w:r>
        <w:rPr>
          <w:b w:val="0"/>
        </w:rPr>
        <w:t xml:space="preserve"> skutečné příjmy dosáhly výše </w:t>
      </w:r>
      <w:r w:rsidR="00C21DAA">
        <w:rPr>
          <w:b w:val="0"/>
        </w:rPr>
        <w:t>184 066 504,96</w:t>
      </w:r>
      <w:r>
        <w:rPr>
          <w:b w:val="0"/>
        </w:rPr>
        <w:t xml:space="preserve"> Kč, což je plnění na upravený rozpočet 1</w:t>
      </w:r>
      <w:r w:rsidR="00C21DAA">
        <w:rPr>
          <w:b w:val="0"/>
        </w:rPr>
        <w:t>04,6</w:t>
      </w:r>
      <w:r>
        <w:rPr>
          <w:b w:val="0"/>
        </w:rPr>
        <w:t xml:space="preserve"> %.  Ke sledovanému datu </w:t>
      </w:r>
      <w:r w:rsidR="0011786A">
        <w:rPr>
          <w:b w:val="0"/>
        </w:rPr>
        <w:t xml:space="preserve">byly </w:t>
      </w:r>
      <w:r>
        <w:rPr>
          <w:b w:val="0"/>
        </w:rPr>
        <w:t>výdaj</w:t>
      </w:r>
      <w:r w:rsidR="0011786A">
        <w:rPr>
          <w:b w:val="0"/>
        </w:rPr>
        <w:t>e</w:t>
      </w:r>
      <w:r>
        <w:rPr>
          <w:b w:val="0"/>
        </w:rPr>
        <w:t xml:space="preserve"> </w:t>
      </w:r>
      <w:r w:rsidR="00C21DAA">
        <w:rPr>
          <w:b w:val="0"/>
        </w:rPr>
        <w:t>194 392 723,45</w:t>
      </w:r>
      <w:r>
        <w:rPr>
          <w:b w:val="0"/>
        </w:rPr>
        <w:t xml:space="preserve"> Kč, tj. čerpání výdajů na upravený rozpočet </w:t>
      </w:r>
      <w:r w:rsidR="00C21DAA">
        <w:rPr>
          <w:b w:val="0"/>
        </w:rPr>
        <w:t xml:space="preserve">88,1 </w:t>
      </w:r>
      <w:r>
        <w:rPr>
          <w:b w:val="0"/>
        </w:rPr>
        <w:t>%.</w:t>
      </w:r>
    </w:p>
    <w:p w:rsidR="001105F0" w:rsidRDefault="001105F0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0677C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401060" cy="1636395"/>
            <wp:effectExtent l="1905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Příjmy - skutečnost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Výdaje - skutečnost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Skutečnost - příjmy a výdaje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9A" w:rsidRDefault="00361111" w:rsidP="00180C9A">
      <w:pPr>
        <w:spacing w:line="240" w:lineRule="auto"/>
        <w:jc w:val="left"/>
      </w:pPr>
      <w:r>
        <w:br w:type="page"/>
      </w:r>
      <w:r w:rsidR="00180C9A">
        <w:lastRenderedPageBreak/>
        <w:t xml:space="preserve"> </w:t>
      </w:r>
    </w:p>
    <w:p w:rsidR="00361111" w:rsidRDefault="00361111" w:rsidP="00A72A79">
      <w:pPr>
        <w:spacing w:line="240" w:lineRule="auto"/>
        <w:jc w:val="left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361111" w:rsidRDefault="00361111" w:rsidP="00361111">
      <w:pPr>
        <w:spacing w:line="276" w:lineRule="auto"/>
      </w:pPr>
    </w:p>
    <w:p w:rsidR="004E758A" w:rsidRDefault="004E758A" w:rsidP="00361111">
      <w:pPr>
        <w:spacing w:line="276" w:lineRule="auto"/>
      </w:pPr>
    </w:p>
    <w:tbl>
      <w:tblPr>
        <w:tblW w:w="7664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1276"/>
        <w:gridCol w:w="1285"/>
      </w:tblGrid>
      <w:tr w:rsidR="004E758A" w:rsidRPr="004E758A" w:rsidTr="004E758A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Příjmy a výdaje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Rozpočet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Rozpočtová opatření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Skutečnost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Schválený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Upravený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Daňové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87 333,00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99 187,20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11 854,20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106 937,99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13 371,80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7 148,80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14 166,03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2 064,70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2 092,63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Přijaté dotace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24 395,50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61 304,50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36 909,00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60 869,86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Financování (8115)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37 168,70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52 434,60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15 265,90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18 096,76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Příjmy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155 148,20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228 390,80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73 242,60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202 163,27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95 082,60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139 213,60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44 131,00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114 886,34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52 282,10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81 393,70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29 111,60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79 506,38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Financování (</w:t>
            </w:r>
            <w:proofErr w:type="spellStart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spl</w:t>
            </w:r>
            <w:proofErr w:type="spellEnd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úvěrů</w:t>
            </w:r>
            <w:proofErr w:type="gramEnd"/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7 770,55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155 148,20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228 390,80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73 242,60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202 163,27</w:t>
            </w:r>
          </w:p>
        </w:tc>
      </w:tr>
    </w:tbl>
    <w:p w:rsidR="004E758A" w:rsidRDefault="004E758A" w:rsidP="004E758A">
      <w:pPr>
        <w:spacing w:line="276" w:lineRule="auto"/>
        <w:jc w:val="center"/>
      </w:pPr>
    </w:p>
    <w:p w:rsidR="00361111" w:rsidRDefault="00361111" w:rsidP="000677C6">
      <w:pPr>
        <w:spacing w:line="276" w:lineRule="auto"/>
        <w:jc w:val="center"/>
      </w:pP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Příjmy - skutečnost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Výdaje - skutečnost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Skutečnost - příjmy a výdaje -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 wp14:anchorId="7F6C5112" wp14:editId="796F10AD">
            <wp:extent cx="5760720" cy="355147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180C9A">
      <w:pPr>
        <w:spacing w:line="240" w:lineRule="auto"/>
        <w:jc w:val="left"/>
      </w:pPr>
      <w:r>
        <w:br w:type="page"/>
      </w:r>
      <w:r w:rsidR="00180C9A">
        <w:lastRenderedPageBreak/>
        <w:t xml:space="preserve"> </w:t>
      </w:r>
    </w:p>
    <w:p w:rsidR="00361111" w:rsidRDefault="00361111" w:rsidP="000677C6">
      <w:pPr>
        <w:spacing w:line="276" w:lineRule="auto"/>
        <w:jc w:val="center"/>
      </w:pP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361111" w:rsidRDefault="00361111" w:rsidP="00361111">
      <w:pPr>
        <w:spacing w:line="276" w:lineRule="auto"/>
      </w:pPr>
    </w:p>
    <w:p w:rsidR="00521036" w:rsidRDefault="00361111" w:rsidP="000677C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37AF165" wp14:editId="0E8B8723">
            <wp:extent cx="4604385" cy="2133600"/>
            <wp:effectExtent l="19050" t="0" r="571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36" w:rsidRDefault="00521036" w:rsidP="00521036">
      <w:pPr>
        <w:spacing w:line="276" w:lineRule="auto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521036" w:rsidRDefault="00521036" w:rsidP="00521036">
      <w:pPr>
        <w:spacing w:line="240" w:lineRule="auto"/>
        <w:jc w:val="left"/>
      </w:pPr>
      <w:r>
        <w:t>Příjmy</w:t>
      </w:r>
    </w:p>
    <w:p w:rsidR="00521036" w:rsidRDefault="00521036" w:rsidP="00521036">
      <w:pPr>
        <w:spacing w:line="276" w:lineRule="auto"/>
        <w:rPr>
          <w:b w:val="0"/>
        </w:rPr>
      </w:pPr>
      <w:r>
        <w:t xml:space="preserve">Daňové příjmy </w:t>
      </w:r>
      <w:r>
        <w:rPr>
          <w:b w:val="0"/>
        </w:rPr>
        <w:t xml:space="preserve">vykázaly nárůst </w:t>
      </w:r>
      <w:r w:rsidR="006078B4">
        <w:rPr>
          <w:b w:val="0"/>
        </w:rPr>
        <w:t xml:space="preserve">o </w:t>
      </w:r>
      <w:r w:rsidR="00F73905">
        <w:rPr>
          <w:b w:val="0"/>
        </w:rPr>
        <w:t xml:space="preserve">19 604 990 </w:t>
      </w:r>
      <w:r>
        <w:rPr>
          <w:b w:val="0"/>
        </w:rPr>
        <w:t>Kč</w:t>
      </w:r>
      <w:r w:rsidR="00F73905">
        <w:rPr>
          <w:b w:val="0"/>
        </w:rPr>
        <w:t>, tj. o 22,4</w:t>
      </w:r>
      <w:r w:rsidR="009D0064">
        <w:rPr>
          <w:b w:val="0"/>
        </w:rPr>
        <w:t>5</w:t>
      </w:r>
      <w:r w:rsidR="00F73905">
        <w:rPr>
          <w:b w:val="0"/>
        </w:rPr>
        <w:t xml:space="preserve"> % proti schválenému rozpočtu</w:t>
      </w:r>
      <w:r w:rsidR="002A70B6">
        <w:rPr>
          <w:b w:val="0"/>
        </w:rPr>
        <w:t xml:space="preserve"> 2017</w:t>
      </w:r>
      <w:r>
        <w:rPr>
          <w:b w:val="0"/>
        </w:rPr>
        <w:t>. U sdílených daní byl nejvyšší nárůst u daně z</w:t>
      </w:r>
      <w:r w:rsidR="00F73905">
        <w:rPr>
          <w:b w:val="0"/>
        </w:rPr>
        <w:t> přidané hodnoty</w:t>
      </w:r>
      <w:r>
        <w:rPr>
          <w:b w:val="0"/>
        </w:rPr>
        <w:t xml:space="preserve"> o </w:t>
      </w:r>
      <w:r w:rsidR="00F73905">
        <w:rPr>
          <w:b w:val="0"/>
        </w:rPr>
        <w:t xml:space="preserve">4 120 791 </w:t>
      </w:r>
      <w:r>
        <w:rPr>
          <w:b w:val="0"/>
        </w:rPr>
        <w:t>Kč</w:t>
      </w:r>
      <w:r w:rsidR="00F73905">
        <w:rPr>
          <w:b w:val="0"/>
        </w:rPr>
        <w:t>, tj. o 11,7 % navíc proti schválenému rozpočtu</w:t>
      </w:r>
      <w:r w:rsidR="002A70B6">
        <w:rPr>
          <w:b w:val="0"/>
        </w:rPr>
        <w:t>, u d</w:t>
      </w:r>
      <w:r>
        <w:rPr>
          <w:b w:val="0"/>
        </w:rPr>
        <w:t>an</w:t>
      </w:r>
      <w:r w:rsidR="002A70B6">
        <w:rPr>
          <w:b w:val="0"/>
        </w:rPr>
        <w:t>ě</w:t>
      </w:r>
      <w:r>
        <w:rPr>
          <w:b w:val="0"/>
        </w:rPr>
        <w:t xml:space="preserve"> z příjmů právnických osob o </w:t>
      </w:r>
      <w:r w:rsidR="00EA146E">
        <w:rPr>
          <w:b w:val="0"/>
        </w:rPr>
        <w:t>1 174 580</w:t>
      </w:r>
      <w:r>
        <w:rPr>
          <w:b w:val="0"/>
        </w:rPr>
        <w:t xml:space="preserve"> Kč.</w:t>
      </w:r>
      <w:r w:rsidR="002A70B6">
        <w:rPr>
          <w:b w:val="0"/>
        </w:rPr>
        <w:t xml:space="preserve"> U ostatních daňových příjmů n</w:t>
      </w:r>
      <w:r>
        <w:rPr>
          <w:b w:val="0"/>
        </w:rPr>
        <w:t xml:space="preserve">ejvyšší nárůst, proti schválenému rozpočtu </w:t>
      </w:r>
      <w:r w:rsidR="002A70B6">
        <w:rPr>
          <w:b w:val="0"/>
        </w:rPr>
        <w:t>vykázala</w:t>
      </w:r>
      <w:r w:rsidR="00EA146E">
        <w:rPr>
          <w:b w:val="0"/>
        </w:rPr>
        <w:t xml:space="preserve"> da</w:t>
      </w:r>
      <w:r w:rsidR="00797C26">
        <w:rPr>
          <w:b w:val="0"/>
        </w:rPr>
        <w:t>ň</w:t>
      </w:r>
      <w:r w:rsidR="00EA146E">
        <w:rPr>
          <w:b w:val="0"/>
        </w:rPr>
        <w:t xml:space="preserve"> z hazardních her 8 418 891</w:t>
      </w:r>
      <w:r>
        <w:rPr>
          <w:b w:val="0"/>
        </w:rPr>
        <w:t xml:space="preserve"> Kč</w:t>
      </w:r>
      <w:r w:rsidR="002A70B6">
        <w:rPr>
          <w:b w:val="0"/>
        </w:rPr>
        <w:t xml:space="preserve"> (daň z hazardních her + zrušený odvod z loterií a podobných her + zrušený odvod z výherních hracích přístrojů)</w:t>
      </w:r>
      <w:r>
        <w:rPr>
          <w:b w:val="0"/>
        </w:rPr>
        <w:t xml:space="preserve"> a u správních poplatků o </w:t>
      </w:r>
      <w:r w:rsidR="00EA146E">
        <w:rPr>
          <w:b w:val="0"/>
        </w:rPr>
        <w:t>1</w:t>
      </w:r>
      <w:r w:rsidR="002A70B6">
        <w:rPr>
          <w:b w:val="0"/>
        </w:rPr>
        <w:t> </w:t>
      </w:r>
      <w:r w:rsidR="00EA146E">
        <w:rPr>
          <w:b w:val="0"/>
        </w:rPr>
        <w:t>594</w:t>
      </w:r>
      <w:r w:rsidR="002A70B6">
        <w:rPr>
          <w:b w:val="0"/>
        </w:rPr>
        <w:t xml:space="preserve"> </w:t>
      </w:r>
      <w:r w:rsidR="00EA146E">
        <w:rPr>
          <w:b w:val="0"/>
        </w:rPr>
        <w:t xml:space="preserve">410 Kč. </w:t>
      </w:r>
      <w:r>
        <w:rPr>
          <w:b w:val="0"/>
        </w:rPr>
        <w:t xml:space="preserve">Daňové příjmy celkem </w:t>
      </w:r>
      <w:r w:rsidR="00EA146E">
        <w:rPr>
          <w:b w:val="0"/>
        </w:rPr>
        <w:t>106 937 989,68</w:t>
      </w:r>
      <w:r>
        <w:rPr>
          <w:b w:val="0"/>
        </w:rPr>
        <w:t xml:space="preserve"> Kč. </w:t>
      </w:r>
    </w:p>
    <w:p w:rsidR="00521036" w:rsidRDefault="00521036" w:rsidP="00521036">
      <w:pPr>
        <w:spacing w:line="276" w:lineRule="auto"/>
        <w:rPr>
          <w:b w:val="0"/>
        </w:rPr>
      </w:pPr>
      <w:r>
        <w:t>Nedaňové příjmy</w:t>
      </w:r>
      <w:r>
        <w:rPr>
          <w:b w:val="0"/>
        </w:rPr>
        <w:t xml:space="preserve"> dosáhly výše </w:t>
      </w:r>
      <w:r w:rsidR="00EA146E">
        <w:rPr>
          <w:b w:val="0"/>
        </w:rPr>
        <w:t>14 166 031,43</w:t>
      </w:r>
      <w:r>
        <w:rPr>
          <w:b w:val="0"/>
        </w:rPr>
        <w:t xml:space="preserve"> Kč, tj. plnění na schválený rozpočet </w:t>
      </w:r>
      <w:r w:rsidR="00EA146E">
        <w:rPr>
          <w:b w:val="0"/>
        </w:rPr>
        <w:t>227,6</w:t>
      </w:r>
      <w:r>
        <w:rPr>
          <w:b w:val="0"/>
        </w:rPr>
        <w:t xml:space="preserve"> %.</w:t>
      </w:r>
      <w:r w:rsidR="00A1761F">
        <w:rPr>
          <w:b w:val="0"/>
        </w:rPr>
        <w:t xml:space="preserve"> Podstatnou měrou se na navýšení nedaňových příjmů podíl</w:t>
      </w:r>
      <w:r w:rsidR="002A70B6">
        <w:rPr>
          <w:b w:val="0"/>
        </w:rPr>
        <w:t>ely</w:t>
      </w:r>
      <w:r w:rsidR="00A1761F">
        <w:rPr>
          <w:b w:val="0"/>
        </w:rPr>
        <w:t xml:space="preserve"> – sankční platby </w:t>
      </w:r>
      <w:r w:rsidR="002A70B6">
        <w:rPr>
          <w:b w:val="0"/>
        </w:rPr>
        <w:t>- pokuty radar - o</w:t>
      </w:r>
      <w:r w:rsidR="00A1761F">
        <w:rPr>
          <w:b w:val="0"/>
        </w:rPr>
        <w:t>ddělení DSA –</w:t>
      </w:r>
      <w:r w:rsidR="002A70B6">
        <w:rPr>
          <w:b w:val="0"/>
        </w:rPr>
        <w:t xml:space="preserve"> </w:t>
      </w:r>
      <w:r w:rsidR="00A1761F">
        <w:rPr>
          <w:b w:val="0"/>
        </w:rPr>
        <w:t>ve výši 6 853 997 Kč.</w:t>
      </w:r>
    </w:p>
    <w:p w:rsidR="00521036" w:rsidRDefault="00521036" w:rsidP="00521036">
      <w:pPr>
        <w:spacing w:line="276" w:lineRule="auto"/>
        <w:rPr>
          <w:b w:val="0"/>
        </w:rPr>
      </w:pPr>
      <w:r>
        <w:t xml:space="preserve">Kapitálové příjmy </w:t>
      </w:r>
      <w:r>
        <w:rPr>
          <w:b w:val="0"/>
        </w:rPr>
        <w:t>v roce 201</w:t>
      </w:r>
      <w:r w:rsidR="00A1761F">
        <w:rPr>
          <w:b w:val="0"/>
        </w:rPr>
        <w:t>7</w:t>
      </w:r>
      <w:r>
        <w:rPr>
          <w:b w:val="0"/>
        </w:rPr>
        <w:t xml:space="preserve"> dosáhly skutečnosti </w:t>
      </w:r>
      <w:r w:rsidR="00A1761F">
        <w:rPr>
          <w:b w:val="0"/>
        </w:rPr>
        <w:t>2 092 625,60</w:t>
      </w:r>
      <w:r>
        <w:rPr>
          <w:b w:val="0"/>
        </w:rPr>
        <w:t xml:space="preserve"> Kč </w:t>
      </w:r>
      <w:r w:rsidR="002A70B6">
        <w:rPr>
          <w:b w:val="0"/>
        </w:rPr>
        <w:t xml:space="preserve"> - </w:t>
      </w:r>
      <w:r>
        <w:rPr>
          <w:b w:val="0"/>
        </w:rPr>
        <w:t> prodej pozemků.</w:t>
      </w:r>
    </w:p>
    <w:p w:rsidR="00C4145E" w:rsidRDefault="00521036" w:rsidP="00361111">
      <w:pPr>
        <w:spacing w:line="276" w:lineRule="auto"/>
        <w:rPr>
          <w:b w:val="0"/>
        </w:rPr>
      </w:pPr>
      <w:r>
        <w:t xml:space="preserve">Přijaté transfery (dotace) </w:t>
      </w:r>
      <w:r>
        <w:rPr>
          <w:b w:val="0"/>
        </w:rPr>
        <w:t>v roce 201</w:t>
      </w:r>
      <w:r w:rsidR="00A1761F">
        <w:rPr>
          <w:b w:val="0"/>
        </w:rPr>
        <w:t>7</w:t>
      </w:r>
      <w:r>
        <w:rPr>
          <w:b w:val="0"/>
        </w:rPr>
        <w:t xml:space="preserve"> dosáhly celkové výše </w:t>
      </w:r>
      <w:r w:rsidR="00A1761F">
        <w:rPr>
          <w:b w:val="0"/>
        </w:rPr>
        <w:t>60 869 858,25</w:t>
      </w:r>
      <w:r>
        <w:rPr>
          <w:b w:val="0"/>
        </w:rPr>
        <w:t xml:space="preserve"> Kč</w:t>
      </w:r>
      <w:r w:rsidR="00CF59C2">
        <w:rPr>
          <w:b w:val="0"/>
        </w:rPr>
        <w:t>. Nejvyšší</w:t>
      </w:r>
      <w:r>
        <w:rPr>
          <w:b w:val="0"/>
        </w:rPr>
        <w:t xml:space="preserve"> </w:t>
      </w:r>
      <w:r w:rsidR="00CF59C2">
        <w:rPr>
          <w:b w:val="0"/>
        </w:rPr>
        <w:t xml:space="preserve">poskytnutá částka </w:t>
      </w:r>
      <w:r>
        <w:rPr>
          <w:b w:val="0"/>
        </w:rPr>
        <w:t>2</w:t>
      </w:r>
      <w:r w:rsidR="00A1761F">
        <w:rPr>
          <w:b w:val="0"/>
        </w:rPr>
        <w:t>5</w:t>
      </w:r>
      <w:r>
        <w:rPr>
          <w:b w:val="0"/>
        </w:rPr>
        <w:t> </w:t>
      </w:r>
      <w:r w:rsidR="00A1761F">
        <w:rPr>
          <w:b w:val="0"/>
        </w:rPr>
        <w:t>00</w:t>
      </w:r>
      <w:r>
        <w:rPr>
          <w:b w:val="0"/>
        </w:rPr>
        <w:t>0 000 Kč na realizaci</w:t>
      </w:r>
      <w:r w:rsidR="00CF59C2">
        <w:rPr>
          <w:b w:val="0"/>
        </w:rPr>
        <w:t xml:space="preserve"> investiční akce </w:t>
      </w:r>
      <w:r w:rsidR="00B36D4B">
        <w:rPr>
          <w:b w:val="0"/>
        </w:rPr>
        <w:t>„</w:t>
      </w:r>
      <w:r w:rsidR="00CF59C2">
        <w:rPr>
          <w:b w:val="0"/>
        </w:rPr>
        <w:t>Přístavba ZŠ Tyršova</w:t>
      </w:r>
      <w:r w:rsidR="00B36D4B">
        <w:rPr>
          <w:b w:val="0"/>
        </w:rPr>
        <w:t>“</w:t>
      </w:r>
      <w:r w:rsidR="00CF59C2">
        <w:rPr>
          <w:b w:val="0"/>
        </w:rPr>
        <w:t xml:space="preserve"> z MŠMT ČR, z MK ČR 1 810 000 </w:t>
      </w:r>
      <w:r w:rsidR="00B36D4B">
        <w:rPr>
          <w:b w:val="0"/>
        </w:rPr>
        <w:t xml:space="preserve">Kč </w:t>
      </w:r>
      <w:r w:rsidR="00CF59C2">
        <w:rPr>
          <w:b w:val="0"/>
        </w:rPr>
        <w:t>na opravu fasády a výměnu oken v městské památkové zóně čp. 65 a 64</w:t>
      </w:r>
      <w:r w:rsidR="00792F16">
        <w:rPr>
          <w:b w:val="0"/>
        </w:rPr>
        <w:t xml:space="preserve"> (budovy radnice)</w:t>
      </w:r>
      <w:r w:rsidR="00CF59C2">
        <w:rPr>
          <w:b w:val="0"/>
        </w:rPr>
        <w:t>, z </w:t>
      </w:r>
      <w:proofErr w:type="spellStart"/>
      <w:proofErr w:type="gramStart"/>
      <w:r w:rsidR="00CF59C2">
        <w:rPr>
          <w:b w:val="0"/>
        </w:rPr>
        <w:t>MZe</w:t>
      </w:r>
      <w:proofErr w:type="spellEnd"/>
      <w:proofErr w:type="gramEnd"/>
      <w:r w:rsidR="00CF59C2">
        <w:rPr>
          <w:b w:val="0"/>
        </w:rPr>
        <w:t xml:space="preserve"> </w:t>
      </w:r>
      <w:r w:rsidR="00D075C8">
        <w:rPr>
          <w:b w:val="0"/>
        </w:rPr>
        <w:t>ČR 1 253 000</w:t>
      </w:r>
      <w:r w:rsidR="00CF59C2">
        <w:rPr>
          <w:b w:val="0"/>
        </w:rPr>
        <w:t xml:space="preserve"> Kč na opravu havarijního stavu jižního břehu Velkého rybníka</w:t>
      </w:r>
      <w:r w:rsidR="00C4145E">
        <w:rPr>
          <w:b w:val="0"/>
        </w:rPr>
        <w:t xml:space="preserve">, z toho </w:t>
      </w:r>
      <w:r w:rsidR="00CF59C2">
        <w:rPr>
          <w:b w:val="0"/>
        </w:rPr>
        <w:t xml:space="preserve">investice </w:t>
      </w:r>
      <w:r w:rsidR="00C4145E">
        <w:rPr>
          <w:b w:val="0"/>
        </w:rPr>
        <w:t xml:space="preserve">ve výši </w:t>
      </w:r>
      <w:r w:rsidR="00CF59C2">
        <w:rPr>
          <w:b w:val="0"/>
        </w:rPr>
        <w:t>703 992 Kč.</w:t>
      </w:r>
      <w:r w:rsidR="00C4145E">
        <w:rPr>
          <w:b w:val="0"/>
        </w:rPr>
        <w:t xml:space="preserve"> Z rozpočtu JMK město získalo dotaci na konání napoleonských vzpomínkových akcí ve výši 760 000 Kč a na novou expozici „Právo útrpné na </w:t>
      </w:r>
      <w:proofErr w:type="spellStart"/>
      <w:r w:rsidR="00C4145E">
        <w:rPr>
          <w:b w:val="0"/>
        </w:rPr>
        <w:t>Slavkovsku</w:t>
      </w:r>
      <w:proofErr w:type="spellEnd"/>
      <w:r w:rsidR="00C4145E">
        <w:rPr>
          <w:b w:val="0"/>
        </w:rPr>
        <w:t>“ ve výši 200 000 Kč. Z EU dotaci „Evropa je vše co potřebujeme“ ve výši 519 380 Kč. Celkový přehled obdržených dotací je uveden v příloze č. 1 – Závěrečný účet 2017.</w:t>
      </w:r>
    </w:p>
    <w:p w:rsidR="00C4145E" w:rsidRDefault="00C4145E" w:rsidP="00361111">
      <w:pPr>
        <w:spacing w:line="276" w:lineRule="auto"/>
        <w:rPr>
          <w:b w:val="0"/>
        </w:rPr>
      </w:pPr>
    </w:p>
    <w:p w:rsidR="00A72A79" w:rsidRDefault="00A72A79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lastRenderedPageBreak/>
        <w:t>Vyhodnocení rozpočtu - rok 2017 - Příjmy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423463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rozpočtu rok 2017 - příjmy dle tříd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rozpočtu rok 2017 - daňové příjmy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po měsících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1866579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Sdílené daně - rok 2017 - plnění po měsících </w:t>
      </w:r>
      <w:proofErr w:type="spellStart"/>
      <w:r>
        <w:t>nasčítaně</w:t>
      </w:r>
      <w:proofErr w:type="spellEnd"/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po měsících absolutně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Sdílené daně - rok 2015 až 2017 - plnění po měsících </w:t>
      </w:r>
      <w:proofErr w:type="spellStart"/>
      <w:r>
        <w:t>nasčítaně</w:t>
      </w:r>
      <w:proofErr w:type="spellEnd"/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jednotlivých daní po měsících absolutně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Sdílené daně - rok 2017 - plnění jednotlivých daní po měsících </w:t>
      </w:r>
      <w:proofErr w:type="spellStart"/>
      <w:r>
        <w:t>nasčítaně</w:t>
      </w:r>
      <w:proofErr w:type="spellEnd"/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74" w:rsidRDefault="00F10874" w:rsidP="00A1761F">
      <w:pPr>
        <w:spacing w:line="240" w:lineRule="auto"/>
        <w:jc w:val="left"/>
      </w:pPr>
    </w:p>
    <w:p w:rsidR="002C4232" w:rsidRDefault="002C4232" w:rsidP="00A1761F">
      <w:pPr>
        <w:spacing w:line="240" w:lineRule="auto"/>
        <w:jc w:val="left"/>
      </w:pPr>
    </w:p>
    <w:p w:rsidR="00A1761F" w:rsidRDefault="00A1761F" w:rsidP="00A1761F">
      <w:pPr>
        <w:spacing w:line="240" w:lineRule="auto"/>
        <w:jc w:val="left"/>
      </w:pPr>
      <w:bookmarkStart w:id="0" w:name="_GoBack"/>
      <w:bookmarkEnd w:id="0"/>
      <w:r>
        <w:t>Výdaje</w:t>
      </w:r>
    </w:p>
    <w:p w:rsidR="00F10874" w:rsidRDefault="00F10874" w:rsidP="00A1761F">
      <w:pPr>
        <w:spacing w:line="276" w:lineRule="auto"/>
      </w:pPr>
    </w:p>
    <w:p w:rsidR="00A1761F" w:rsidRDefault="00A1761F" w:rsidP="00A1761F">
      <w:pPr>
        <w:spacing w:line="276" w:lineRule="auto"/>
        <w:rPr>
          <w:b w:val="0"/>
        </w:rPr>
      </w:pPr>
      <w:r>
        <w:t>Běžné výdaje</w:t>
      </w:r>
      <w:r>
        <w:rPr>
          <w:b w:val="0"/>
        </w:rPr>
        <w:t xml:space="preserve"> v roce 2017 dosáhly</w:t>
      </w:r>
      <w:r w:rsidR="00C71926">
        <w:rPr>
          <w:b w:val="0"/>
        </w:rPr>
        <w:t xml:space="preserve"> výše </w:t>
      </w:r>
      <w:r w:rsidR="00D013B2">
        <w:rPr>
          <w:b w:val="0"/>
        </w:rPr>
        <w:t>114 886 338,73</w:t>
      </w:r>
      <w:r>
        <w:rPr>
          <w:b w:val="0"/>
        </w:rPr>
        <w:t xml:space="preserve"> Kč, tj. plnění na upravený rozpočet </w:t>
      </w:r>
      <w:r w:rsidR="00D013B2">
        <w:rPr>
          <w:b w:val="0"/>
        </w:rPr>
        <w:t>8</w:t>
      </w:r>
      <w:r w:rsidR="00C71926">
        <w:rPr>
          <w:b w:val="0"/>
        </w:rPr>
        <w:t>2</w:t>
      </w:r>
      <w:r w:rsidR="00D013B2">
        <w:rPr>
          <w:b w:val="0"/>
        </w:rPr>
        <w:t>,</w:t>
      </w:r>
      <w:r w:rsidR="00C71926">
        <w:rPr>
          <w:b w:val="0"/>
        </w:rPr>
        <w:t>5</w:t>
      </w:r>
      <w:r>
        <w:rPr>
          <w:b w:val="0"/>
        </w:rPr>
        <w:t>%.</w:t>
      </w:r>
    </w:p>
    <w:p w:rsidR="00A1761F" w:rsidRDefault="00A1761F" w:rsidP="00361111">
      <w:pPr>
        <w:spacing w:line="276" w:lineRule="auto"/>
        <w:rPr>
          <w:b w:val="0"/>
        </w:rPr>
      </w:pPr>
      <w:r>
        <w:lastRenderedPageBreak/>
        <w:t>Kapitálové výdaje</w:t>
      </w:r>
      <w:r>
        <w:rPr>
          <w:b w:val="0"/>
        </w:rPr>
        <w:t xml:space="preserve"> byly v roce 201</w:t>
      </w:r>
      <w:r w:rsidR="00C71926">
        <w:rPr>
          <w:b w:val="0"/>
        </w:rPr>
        <w:t>7</w:t>
      </w:r>
      <w:r>
        <w:rPr>
          <w:b w:val="0"/>
        </w:rPr>
        <w:t xml:space="preserve"> ve výši </w:t>
      </w:r>
      <w:r w:rsidR="00C71926">
        <w:rPr>
          <w:b w:val="0"/>
        </w:rPr>
        <w:t>79 506 384,72</w:t>
      </w:r>
      <w:r>
        <w:rPr>
          <w:b w:val="0"/>
        </w:rPr>
        <w:t xml:space="preserve"> Kč. Nejv</w:t>
      </w:r>
      <w:r w:rsidR="006D7A12">
        <w:rPr>
          <w:b w:val="0"/>
        </w:rPr>
        <w:t>ětší</w:t>
      </w:r>
      <w:r>
        <w:rPr>
          <w:b w:val="0"/>
        </w:rPr>
        <w:t xml:space="preserve"> investiční</w:t>
      </w:r>
      <w:r w:rsidR="006D7A12">
        <w:rPr>
          <w:b w:val="0"/>
        </w:rPr>
        <w:t xml:space="preserve"> akcí</w:t>
      </w:r>
      <w:r>
        <w:rPr>
          <w:b w:val="0"/>
        </w:rPr>
        <w:t xml:space="preserve"> byl</w:t>
      </w:r>
      <w:r w:rsidR="006D7A12">
        <w:rPr>
          <w:b w:val="0"/>
        </w:rPr>
        <w:t>a</w:t>
      </w:r>
      <w:r>
        <w:rPr>
          <w:b w:val="0"/>
        </w:rPr>
        <w:t xml:space="preserve"> v roce 201</w:t>
      </w:r>
      <w:r w:rsidR="00C71926">
        <w:rPr>
          <w:b w:val="0"/>
        </w:rPr>
        <w:t>7</w:t>
      </w:r>
      <w:r>
        <w:rPr>
          <w:b w:val="0"/>
        </w:rPr>
        <w:t xml:space="preserve"> </w:t>
      </w:r>
      <w:r w:rsidR="006D7A12">
        <w:rPr>
          <w:b w:val="0"/>
        </w:rPr>
        <w:t>„P</w:t>
      </w:r>
      <w:r w:rsidR="00C71926">
        <w:rPr>
          <w:b w:val="0"/>
        </w:rPr>
        <w:t>řístavbu ZŠ Tyršova</w:t>
      </w:r>
      <w:r w:rsidR="006D7A12">
        <w:rPr>
          <w:b w:val="0"/>
        </w:rPr>
        <w:t>“</w:t>
      </w:r>
      <w:r w:rsidR="00C71926">
        <w:rPr>
          <w:b w:val="0"/>
        </w:rPr>
        <w:t xml:space="preserve"> v celkové </w:t>
      </w:r>
      <w:r w:rsidR="00040943">
        <w:rPr>
          <w:b w:val="0"/>
        </w:rPr>
        <w:t>výši 37 529 233</w:t>
      </w:r>
      <w:r w:rsidR="00C71926">
        <w:rPr>
          <w:b w:val="0"/>
        </w:rPr>
        <w:t xml:space="preserve"> Kč,</w:t>
      </w:r>
      <w:r>
        <w:rPr>
          <w:b w:val="0"/>
        </w:rPr>
        <w:t xml:space="preserve"> dotace na tuto akci byla poskytnuta z MŠMT </w:t>
      </w:r>
      <w:r w:rsidR="00F10874">
        <w:rPr>
          <w:b w:val="0"/>
        </w:rPr>
        <w:t xml:space="preserve">ČR </w:t>
      </w:r>
      <w:r>
        <w:rPr>
          <w:b w:val="0"/>
        </w:rPr>
        <w:t xml:space="preserve">ve výši </w:t>
      </w:r>
      <w:r w:rsidR="00C71926">
        <w:rPr>
          <w:b w:val="0"/>
        </w:rPr>
        <w:t>2</w:t>
      </w:r>
      <w:r>
        <w:rPr>
          <w:b w:val="0"/>
        </w:rPr>
        <w:t xml:space="preserve">5 000 000 Kč, spoluúčast města Slavkov u Brna ve výši </w:t>
      </w:r>
      <w:r w:rsidR="00C71926">
        <w:rPr>
          <w:b w:val="0"/>
        </w:rPr>
        <w:t>12 529 233</w:t>
      </w:r>
      <w:r>
        <w:rPr>
          <w:b w:val="0"/>
        </w:rPr>
        <w:t xml:space="preserve"> Kč. </w:t>
      </w:r>
      <w:r w:rsidR="006D7A12">
        <w:rPr>
          <w:b w:val="0"/>
        </w:rPr>
        <w:t>Druhou významnou</w:t>
      </w:r>
      <w:r>
        <w:rPr>
          <w:b w:val="0"/>
        </w:rPr>
        <w:t xml:space="preserve"> investiční akcí byl</w:t>
      </w:r>
      <w:r w:rsidR="006D7A12">
        <w:rPr>
          <w:b w:val="0"/>
        </w:rPr>
        <w:t xml:space="preserve">o dokončení II. etapy rekonstrukce atletického stadionu v celkové výši 20 001 839 Kč, z rozpočtu JMK byla poskytnuta investiční účelová dotace ve výši 150 000 Kč. </w:t>
      </w:r>
      <w:r w:rsidR="00FC3F2C">
        <w:rPr>
          <w:b w:val="0"/>
        </w:rPr>
        <w:t xml:space="preserve">Rekonstrukce ul. Slovanská ve výši 8 423 893 Kč. </w:t>
      </w:r>
      <w:r w:rsidR="00A36242">
        <w:rPr>
          <w:b w:val="0"/>
        </w:rPr>
        <w:t>Částka</w:t>
      </w:r>
      <w:r w:rsidR="006D7A12">
        <w:rPr>
          <w:b w:val="0"/>
        </w:rPr>
        <w:t xml:space="preserve"> 5 010 516 Kč </w:t>
      </w:r>
      <w:r w:rsidR="00A36242">
        <w:rPr>
          <w:b w:val="0"/>
        </w:rPr>
        <w:t xml:space="preserve">byla vložena </w:t>
      </w:r>
      <w:r w:rsidR="00E52FD3">
        <w:rPr>
          <w:b w:val="0"/>
        </w:rPr>
        <w:t xml:space="preserve">do </w:t>
      </w:r>
      <w:r w:rsidR="00FC538A">
        <w:rPr>
          <w:b w:val="0"/>
        </w:rPr>
        <w:t xml:space="preserve">rekonstrukce </w:t>
      </w:r>
      <w:r w:rsidR="00E52FD3">
        <w:rPr>
          <w:b w:val="0"/>
        </w:rPr>
        <w:t xml:space="preserve">domu s pečovatelskou službou </w:t>
      </w:r>
      <w:r w:rsidR="00A36242">
        <w:rPr>
          <w:b w:val="0"/>
        </w:rPr>
        <w:t xml:space="preserve">(zateplení, fasáda, balkony). </w:t>
      </w:r>
    </w:p>
    <w:p w:rsidR="006D7A12" w:rsidRPr="006D7A12" w:rsidRDefault="006D7A12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t>Vyhodnocení běžných výdajů za odvětvové třídění (paragrafy) - rok 2017</w:t>
      </w:r>
    </w:p>
    <w:p w:rsidR="00361111" w:rsidRDefault="00361111" w:rsidP="00361111">
      <w:pPr>
        <w:spacing w:line="276" w:lineRule="auto"/>
      </w:pPr>
    </w:p>
    <w:p w:rsidR="002C4232" w:rsidRDefault="002C4232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976295"/>
            <wp:effectExtent l="1905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6D7A12">
      <w:pPr>
        <w:spacing w:line="240" w:lineRule="auto"/>
        <w:jc w:val="left"/>
      </w:pPr>
      <w:r>
        <w:br w:type="page"/>
      </w:r>
      <w:r>
        <w:lastRenderedPageBreak/>
        <w:t>Vyhodnocení kapitálových výdajů rozpočtu za odvětvové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2238123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běžných a kapitálových výdajů rozpočtu za odvětvové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255440" cy="8280000"/>
            <wp:effectExtent l="19050" t="0" r="236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40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oddíly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773017"/>
            <wp:effectExtent l="1905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oddíly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celkových výdajů za oddíly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379595" cy="3416935"/>
            <wp:effectExtent l="19050" t="0" r="190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výdajů za oddíly - rok 2017</w:t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kapitálových výdajů za oddíly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379595" cy="1957070"/>
            <wp:effectExtent l="19050" t="0" r="190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kapitálových výdajů za oddíly - rok 2017</w:t>
      </w:r>
    </w:p>
    <w:p w:rsidR="00361111" w:rsidRDefault="00361111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celkových výdajů za skupiny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A72A7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5278120" cy="1299210"/>
            <wp:effectExtent l="1905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skupiny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příjmů a výdajů po měsících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38400"/>
            <wp:effectExtent l="19050" t="0" r="825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příjmů a výdajů po měsících absolutně-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 xml:space="preserve">Vyhodnocení skutečnosti příjmů a výdajů po měsících </w:t>
      </w:r>
      <w:proofErr w:type="spellStart"/>
      <w:r>
        <w:t>nasčítaně</w:t>
      </w:r>
      <w:proofErr w:type="spellEnd"/>
      <w:r>
        <w:t xml:space="preserve">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běžných a kapitálových výdajů po měsících- rok 2017</w:t>
      </w:r>
    </w:p>
    <w:p w:rsidR="005305C6" w:rsidRDefault="005305C6" w:rsidP="00361111">
      <w:pPr>
        <w:spacing w:line="276" w:lineRule="auto"/>
      </w:pP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54275"/>
            <wp:effectExtent l="19050" t="0" r="825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běžných a kapitálových výdajů po měsících absolutně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Saldo provozního přebytku po měsících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38400"/>
            <wp:effectExtent l="19050" t="0" r="825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Saldo provozního přebytku po měsících - rok 2017</w:t>
      </w:r>
    </w:p>
    <w:p w:rsidR="00361111" w:rsidRDefault="00361111" w:rsidP="00361111">
      <w:pPr>
        <w:spacing w:line="276" w:lineRule="auto"/>
      </w:pPr>
    </w:p>
    <w:p w:rsidR="000911B1" w:rsidRDefault="000911B1" w:rsidP="00361111">
      <w:pPr>
        <w:spacing w:line="276" w:lineRule="auto"/>
      </w:pPr>
    </w:p>
    <w:p w:rsidR="000911B1" w:rsidRDefault="009840F4" w:rsidP="000911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2059305</wp:posOffset>
                </wp:positionV>
                <wp:extent cx="1752600" cy="904875"/>
                <wp:effectExtent l="0" t="0" r="1276350" b="28575"/>
                <wp:wrapNone/>
                <wp:docPr id="7" name="Zaoblený obdélník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04875"/>
                        </a:xfrm>
                        <a:prstGeom prst="wedgeRoundRectCallout">
                          <a:avLst>
                            <a:gd name="adj1" fmla="val 121558"/>
                            <a:gd name="adj2" fmla="val -477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0F4" w:rsidRDefault="009840F4" w:rsidP="009840F4">
                            <w:pPr>
                              <w:jc w:val="center"/>
                            </w:pPr>
                            <w:r>
                              <w:t>záporné saldo:</w:t>
                            </w:r>
                          </w:p>
                          <w:p w:rsidR="009840F4" w:rsidRDefault="009840F4" w:rsidP="009840F4">
                            <w:pPr>
                              <w:jc w:val="center"/>
                            </w:pPr>
                            <w:r>
                              <w:t>fasády radnice, elektroinstalace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7" o:spid="_x0000_s1026" type="#_x0000_t62" style="position:absolute;left:0;text-align:left;margin-left:182.65pt;margin-top:162.15pt;width:138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" adj="37057,493" fillcolor="#4f81bd [3204]" strokecolor="#243f60 [1604]" strokeweight="2pt">
                <v:textbox>
                  <w:txbxContent>
                    <w:p w:rsidR="009840F4" w:rsidRDefault="009840F4" w:rsidP="009840F4">
                      <w:pPr>
                        <w:jc w:val="center"/>
                      </w:pPr>
                      <w:r>
                        <w:t>záporné saldo:</w:t>
                      </w:r>
                    </w:p>
                    <w:p w:rsidR="009840F4" w:rsidRDefault="009840F4" w:rsidP="009840F4">
                      <w:pPr>
                        <w:jc w:val="center"/>
                      </w:pPr>
                      <w:r>
                        <w:t>fasády radnice, elektroinstalace</w:t>
                      </w:r>
                    </w:p>
                  </w:txbxContent>
                </v:textbox>
              </v:shape>
            </w:pict>
          </mc:Fallback>
        </mc:AlternateContent>
      </w:r>
      <w:r w:rsidR="00361111">
        <w:rPr>
          <w:noProof/>
        </w:rPr>
        <w:drawing>
          <wp:inline distT="0" distB="0" distL="0" distR="0">
            <wp:extent cx="5760720" cy="3551479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B1" w:rsidRPr="00136A68">
        <w:t>Financování</w:t>
      </w:r>
    </w:p>
    <w:p w:rsidR="000911B1" w:rsidRDefault="007D37D9" w:rsidP="000911B1">
      <w:pPr>
        <w:spacing w:line="276" w:lineRule="auto"/>
        <w:rPr>
          <w:b w:val="0"/>
        </w:rPr>
      </w:pPr>
      <w:r>
        <w:rPr>
          <w:b w:val="0"/>
        </w:rPr>
        <w:t>Záporné</w:t>
      </w:r>
      <w:r w:rsidR="000911B1">
        <w:rPr>
          <w:b w:val="0"/>
        </w:rPr>
        <w:t xml:space="preserve"> saldo mezi </w:t>
      </w:r>
      <w:r w:rsidR="00E52FD3">
        <w:rPr>
          <w:b w:val="0"/>
        </w:rPr>
        <w:t>obdrženými</w:t>
      </w:r>
      <w:r w:rsidR="00136A68">
        <w:rPr>
          <w:b w:val="0"/>
        </w:rPr>
        <w:t xml:space="preserve"> </w:t>
      </w:r>
      <w:r w:rsidR="000911B1">
        <w:rPr>
          <w:b w:val="0"/>
        </w:rPr>
        <w:t>příjmy a uskutečněnými výdaji v roce 201</w:t>
      </w:r>
      <w:r>
        <w:rPr>
          <w:b w:val="0"/>
        </w:rPr>
        <w:t>7</w:t>
      </w:r>
      <w:r w:rsidR="000911B1">
        <w:rPr>
          <w:b w:val="0"/>
        </w:rPr>
        <w:t xml:space="preserve"> ve výši </w:t>
      </w:r>
      <w:r w:rsidR="005305C6">
        <w:rPr>
          <w:b w:val="0"/>
        </w:rPr>
        <w:t xml:space="preserve">10 326 218,49 </w:t>
      </w:r>
      <w:r w:rsidR="000911B1">
        <w:rPr>
          <w:b w:val="0"/>
        </w:rPr>
        <w:t>Kč</w:t>
      </w:r>
      <w:r w:rsidR="00136A68">
        <w:rPr>
          <w:b w:val="0"/>
        </w:rPr>
        <w:t xml:space="preserve">, uhrazení splátek </w:t>
      </w:r>
      <w:r w:rsidR="005305C6">
        <w:rPr>
          <w:b w:val="0"/>
        </w:rPr>
        <w:t xml:space="preserve">jistin </w:t>
      </w:r>
      <w:r w:rsidR="000911B1">
        <w:rPr>
          <w:b w:val="0"/>
        </w:rPr>
        <w:t>úvěrů</w:t>
      </w:r>
      <w:r w:rsidR="00136A68">
        <w:rPr>
          <w:b w:val="0"/>
        </w:rPr>
        <w:t xml:space="preserve"> a splátek přijatých půjčených prostředků (předplacené nájemné E-COM, předplacené nájemné byty Litavská)</w:t>
      </w:r>
      <w:r w:rsidR="000911B1">
        <w:rPr>
          <w:b w:val="0"/>
        </w:rPr>
        <w:t xml:space="preserve"> ve výši </w:t>
      </w:r>
      <w:r w:rsidR="00136A68">
        <w:rPr>
          <w:b w:val="0"/>
        </w:rPr>
        <w:t>7 770 545,16</w:t>
      </w:r>
      <w:r w:rsidR="000911B1">
        <w:rPr>
          <w:b w:val="0"/>
        </w:rPr>
        <w:t xml:space="preserve"> Kč,</w:t>
      </w:r>
      <w:r w:rsidR="005B6C73">
        <w:rPr>
          <w:b w:val="0"/>
        </w:rPr>
        <w:t xml:space="preserve"> bylo</w:t>
      </w:r>
      <w:r w:rsidR="000911B1">
        <w:rPr>
          <w:b w:val="0"/>
        </w:rPr>
        <w:t xml:space="preserve"> </w:t>
      </w:r>
      <w:r w:rsidR="00136A68">
        <w:rPr>
          <w:b w:val="0"/>
        </w:rPr>
        <w:t>kryto zapojením nevyčerpaných finančních prostředků ušetřených z minulých let</w:t>
      </w:r>
      <w:r w:rsidR="00126432">
        <w:rPr>
          <w:b w:val="0"/>
        </w:rPr>
        <w:t xml:space="preserve"> (položka 8115)</w:t>
      </w:r>
      <w:r w:rsidR="00136A68">
        <w:rPr>
          <w:b w:val="0"/>
        </w:rPr>
        <w:t>.</w:t>
      </w:r>
    </w:p>
    <w:p w:rsidR="00500E53" w:rsidRDefault="000911B1" w:rsidP="00361111">
      <w:pPr>
        <w:spacing w:line="276" w:lineRule="auto"/>
        <w:rPr>
          <w:b w:val="0"/>
        </w:rPr>
      </w:pPr>
      <w:r>
        <w:rPr>
          <w:b w:val="0"/>
        </w:rPr>
        <w:t>V roce 201</w:t>
      </w:r>
      <w:r w:rsidR="00126432">
        <w:rPr>
          <w:b w:val="0"/>
        </w:rPr>
        <w:t>7</w:t>
      </w:r>
      <w:r>
        <w:rPr>
          <w:b w:val="0"/>
        </w:rPr>
        <w:t xml:space="preserve"> byl</w:t>
      </w:r>
      <w:r w:rsidR="00126432">
        <w:rPr>
          <w:b w:val="0"/>
        </w:rPr>
        <w:t>a</w:t>
      </w:r>
      <w:r>
        <w:rPr>
          <w:b w:val="0"/>
        </w:rPr>
        <w:t xml:space="preserve"> uzavřen</w:t>
      </w:r>
      <w:r w:rsidR="00126432">
        <w:rPr>
          <w:b w:val="0"/>
        </w:rPr>
        <w:t>a</w:t>
      </w:r>
      <w:r>
        <w:rPr>
          <w:b w:val="0"/>
        </w:rPr>
        <w:t xml:space="preserve"> smlouv</w:t>
      </w:r>
      <w:r w:rsidR="00126432">
        <w:rPr>
          <w:b w:val="0"/>
        </w:rPr>
        <w:t>a</w:t>
      </w:r>
      <w:r>
        <w:rPr>
          <w:b w:val="0"/>
        </w:rPr>
        <w:t xml:space="preserve"> o poskytnutí úvěru</w:t>
      </w:r>
      <w:r w:rsidR="00126432">
        <w:rPr>
          <w:b w:val="0"/>
        </w:rPr>
        <w:t xml:space="preserve"> na </w:t>
      </w:r>
      <w:r w:rsidR="00B408C5">
        <w:rPr>
          <w:b w:val="0"/>
        </w:rPr>
        <w:t xml:space="preserve">předfinancování dotace investiční – </w:t>
      </w:r>
      <w:r w:rsidR="00126432">
        <w:rPr>
          <w:b w:val="0"/>
        </w:rPr>
        <w:t>cyklostezk</w:t>
      </w:r>
      <w:r w:rsidR="00B408C5">
        <w:rPr>
          <w:b w:val="0"/>
        </w:rPr>
        <w:t xml:space="preserve">a ve výši 19 000 000 Kč, smlouva o poskytnutí úvěru na předfinancování dotace investiční </w:t>
      </w:r>
      <w:r w:rsidR="00126432">
        <w:rPr>
          <w:b w:val="0"/>
        </w:rPr>
        <w:t xml:space="preserve"> </w:t>
      </w:r>
      <w:r w:rsidR="00B408C5">
        <w:rPr>
          <w:b w:val="0"/>
        </w:rPr>
        <w:t>- obnova zámecké zdi, zpřístupnění valů zámku ve výši 40 000 000 Kč. V roce 2017</w:t>
      </w:r>
      <w:r w:rsidR="00E52FD3">
        <w:rPr>
          <w:b w:val="0"/>
        </w:rPr>
        <w:t xml:space="preserve"> </w:t>
      </w:r>
      <w:r w:rsidR="00B408C5">
        <w:rPr>
          <w:b w:val="0"/>
        </w:rPr>
        <w:t>nebyly nasmlouvané finanční prostředky čerpány.</w:t>
      </w:r>
      <w:r w:rsidR="00E52FD3">
        <w:rPr>
          <w:b w:val="0"/>
        </w:rPr>
        <w:t xml:space="preserve"> </w:t>
      </w:r>
      <w:r w:rsidR="00500E53">
        <w:rPr>
          <w:b w:val="0"/>
        </w:rPr>
        <w:t>V roce 2017 byl splacen úvěr „Litavská“ a úvěr „Střechy zámku“.</w:t>
      </w:r>
    </w:p>
    <w:p w:rsidR="00361111" w:rsidRDefault="00361111" w:rsidP="00361111">
      <w:pPr>
        <w:spacing w:line="276" w:lineRule="auto"/>
      </w:pPr>
      <w:r>
        <w:lastRenderedPageBreak/>
        <w:t>Vyhodnocení položek financování rok 2017 (Skutečnost vč. 8115)</w:t>
      </w:r>
    </w:p>
    <w:p w:rsidR="00800B9D" w:rsidRPr="00500E53" w:rsidRDefault="00800B9D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97613"/>
            <wp:effectExtent l="1905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B1" w:rsidRDefault="000911B1" w:rsidP="000911B1">
      <w:pPr>
        <w:spacing w:line="240" w:lineRule="auto"/>
        <w:jc w:val="left"/>
      </w:pPr>
    </w:p>
    <w:p w:rsidR="00361111" w:rsidRDefault="00361111" w:rsidP="000911B1">
      <w:pPr>
        <w:spacing w:line="240" w:lineRule="auto"/>
        <w:jc w:val="left"/>
      </w:pPr>
      <w:r>
        <w:t>Zůstatky finančních prostředků na peněžních účtech - rok 2015 až 2017</w:t>
      </w:r>
    </w:p>
    <w:p w:rsidR="00361111" w:rsidRDefault="00361111" w:rsidP="00361111">
      <w:pPr>
        <w:spacing w:line="276" w:lineRule="auto"/>
      </w:pPr>
    </w:p>
    <w:p w:rsidR="00C13E66" w:rsidRDefault="00C13E66" w:rsidP="00C13E66">
      <w:pPr>
        <w:spacing w:line="276" w:lineRule="auto"/>
      </w:pPr>
    </w:p>
    <w:p w:rsidR="00C13E66" w:rsidRDefault="00361111" w:rsidP="00C13E6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953E357" wp14:editId="724527CA">
            <wp:extent cx="4095750" cy="228600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97" cy="228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66" w:rsidRDefault="00C13E66" w:rsidP="00C13E66">
      <w:pPr>
        <w:spacing w:line="276" w:lineRule="auto"/>
      </w:pPr>
    </w:p>
    <w:p w:rsidR="00361111" w:rsidRDefault="00361111" w:rsidP="00C13E66">
      <w:pPr>
        <w:spacing w:line="276" w:lineRule="auto"/>
      </w:pPr>
      <w:r>
        <w:t>Vývoj ukazatele dluhové služby v letech 2013 až 2017 (nová metodika)</w:t>
      </w:r>
    </w:p>
    <w:p w:rsidR="00361111" w:rsidRDefault="00361111" w:rsidP="00361111">
      <w:pPr>
        <w:spacing w:line="276" w:lineRule="auto"/>
      </w:pPr>
      <w:r>
        <w:rPr>
          <w:b w:val="0"/>
        </w:rPr>
        <w:t>Ukazatel dluhové služby podle nové metodiky výpočtu, kde je dluhová základna ekvivalentní celkovým příjmům.</w:t>
      </w:r>
      <w:r w:rsidR="00800B9D">
        <w:rPr>
          <w:b w:val="0"/>
        </w:rPr>
        <w:t xml:space="preserve"> </w:t>
      </w:r>
      <w:r w:rsidR="00D87123">
        <w:rPr>
          <w:b w:val="0"/>
        </w:rPr>
        <w:t>Podíl dluhové služby k dluhové základně nesmí překročit 30%.</w:t>
      </w:r>
      <w:r w:rsidR="00994B6A">
        <w:rPr>
          <w:b w:val="0"/>
        </w:rPr>
        <w:t xml:space="preserve"> </w:t>
      </w:r>
    </w:p>
    <w:p w:rsidR="00361111" w:rsidRDefault="00361111" w:rsidP="00361111">
      <w:pPr>
        <w:spacing w:line="276" w:lineRule="auto"/>
      </w:pPr>
    </w:p>
    <w:p w:rsidR="00361111" w:rsidRDefault="00361111" w:rsidP="00F6597C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459605" cy="657860"/>
            <wp:effectExtent l="1905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Vývoj dluhové služby za léta 2013 až 2017 (nová metodika)</w:t>
      </w:r>
    </w:p>
    <w:p w:rsidR="00361111" w:rsidRDefault="00361111" w:rsidP="00361111">
      <w:pPr>
        <w:spacing w:line="276" w:lineRule="auto"/>
      </w:pPr>
    </w:p>
    <w:p w:rsidR="00361111" w:rsidRDefault="00361111" w:rsidP="00C13E6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552950" cy="240982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45" cy="240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6E" w:rsidRPr="00C13E66" w:rsidRDefault="00CD746E" w:rsidP="00C13E66">
      <w:pPr>
        <w:spacing w:line="240" w:lineRule="auto"/>
        <w:rPr>
          <w:b w:val="0"/>
        </w:rPr>
      </w:pPr>
      <w:r>
        <w:rPr>
          <w:b w:val="0"/>
        </w:rPr>
        <w:t xml:space="preserve">Plnění rozpočtu </w:t>
      </w:r>
      <w:r w:rsidR="00F555CA">
        <w:rPr>
          <w:b w:val="0"/>
        </w:rPr>
        <w:t xml:space="preserve">příjmů a výdajů </w:t>
      </w:r>
      <w:r>
        <w:rPr>
          <w:b w:val="0"/>
        </w:rPr>
        <w:t>v plném členění podle rozpočtové skladby viz příloha č. 1 – Závěrečný účet 2017.</w:t>
      </w:r>
    </w:p>
    <w:p w:rsidR="005022AE" w:rsidRDefault="005022AE" w:rsidP="00CD746E">
      <w:pPr>
        <w:pStyle w:val="Odstavecseseznamem"/>
        <w:numPr>
          <w:ilvl w:val="0"/>
          <w:numId w:val="11"/>
        </w:numPr>
        <w:spacing w:line="240" w:lineRule="auto"/>
        <w:jc w:val="left"/>
      </w:pPr>
      <w:r>
        <w:lastRenderedPageBreak/>
        <w:t>Hospodaření s majetkem města Slavkov u Brna a další finanční operace</w:t>
      </w:r>
    </w:p>
    <w:p w:rsidR="00CD746E" w:rsidRDefault="00CD746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K datu 31. 12. 201</w:t>
      </w:r>
      <w:r w:rsidR="00F555CA">
        <w:rPr>
          <w:b w:val="0"/>
        </w:rPr>
        <w:t>7</w:t>
      </w:r>
      <w:r>
        <w:rPr>
          <w:b w:val="0"/>
        </w:rPr>
        <w:t xml:space="preserve"> město Slavkov u Brna vykazuje aktiva </w:t>
      </w:r>
      <w:r w:rsidR="00F555CA">
        <w:rPr>
          <w:b w:val="0"/>
        </w:rPr>
        <w:t xml:space="preserve">celkem </w:t>
      </w:r>
      <w:r>
        <w:rPr>
          <w:b w:val="0"/>
        </w:rPr>
        <w:t xml:space="preserve">ve výši </w:t>
      </w:r>
      <w:r w:rsidR="00F555CA">
        <w:rPr>
          <w:b w:val="0"/>
        </w:rPr>
        <w:t>929 193 148,18</w:t>
      </w:r>
      <w:r>
        <w:rPr>
          <w:b w:val="0"/>
        </w:rPr>
        <w:t xml:space="preserve"> Kč (netto). Tato aktiva jsou kryta vlastními zdroji ve výši </w:t>
      </w:r>
      <w:r w:rsidR="00F555CA">
        <w:rPr>
          <w:b w:val="0"/>
        </w:rPr>
        <w:t>841 285 153,90</w:t>
      </w:r>
      <w:r>
        <w:rPr>
          <w:b w:val="0"/>
        </w:rPr>
        <w:t xml:space="preserve"> Kč a cizími zdroji ve výši </w:t>
      </w:r>
      <w:r w:rsidR="00F555CA">
        <w:rPr>
          <w:b w:val="0"/>
        </w:rPr>
        <w:t>87 907 994,28</w:t>
      </w:r>
      <w:r>
        <w:rPr>
          <w:b w:val="0"/>
        </w:rPr>
        <w:t xml:space="preserve"> Kč. Aktiva jsou tedy v převážné míře kryta vlastními zdroji, což ukazuje na dlouhodobé dobré hospodaření města Slavkov u Brna.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Stálá aktiva </w:t>
      </w:r>
      <w:r>
        <w:rPr>
          <w:b w:val="0"/>
        </w:rPr>
        <w:t xml:space="preserve">ve výši </w:t>
      </w:r>
      <w:r w:rsidR="00F555CA">
        <w:rPr>
          <w:b w:val="0"/>
        </w:rPr>
        <w:t>805 475 159,50</w:t>
      </w:r>
      <w:r>
        <w:rPr>
          <w:b w:val="0"/>
        </w:rPr>
        <w:t xml:space="preserve"> Kč (netto, po odpočtu oprávek).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t>Oběžná aktiva</w:t>
      </w:r>
      <w:r>
        <w:rPr>
          <w:b w:val="0"/>
        </w:rPr>
        <w:t xml:space="preserve"> ve výši </w:t>
      </w:r>
      <w:r w:rsidR="00F555CA">
        <w:rPr>
          <w:b w:val="0"/>
        </w:rPr>
        <w:t>123 717 988,68</w:t>
      </w:r>
      <w:r>
        <w:rPr>
          <w:b w:val="0"/>
        </w:rPr>
        <w:t xml:space="preserve"> Kč (netto).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t>Vlastní kapitál</w:t>
      </w:r>
      <w:r>
        <w:rPr>
          <w:b w:val="0"/>
        </w:rPr>
        <w:t xml:space="preserve"> ve výši </w:t>
      </w:r>
      <w:r w:rsidR="00F555CA">
        <w:rPr>
          <w:b w:val="0"/>
        </w:rPr>
        <w:t>841 285 153,90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</w:pPr>
    </w:p>
    <w:p w:rsidR="00F74595" w:rsidRDefault="005022AE" w:rsidP="005022AE">
      <w:pPr>
        <w:spacing w:line="240" w:lineRule="auto"/>
        <w:rPr>
          <w:b w:val="0"/>
        </w:rPr>
      </w:pPr>
      <w:r>
        <w:t xml:space="preserve">Cizí zdroje ve výši </w:t>
      </w:r>
      <w:r w:rsidR="00F555CA">
        <w:rPr>
          <w:b w:val="0"/>
        </w:rPr>
        <w:t>87 907 994,28</w:t>
      </w:r>
      <w:r>
        <w:rPr>
          <w:b w:val="0"/>
        </w:rPr>
        <w:t xml:space="preserve"> Kč, jsou převážně tvořeny zůstatkem poskytnutých dlouhodobých úvěrů ve výši </w:t>
      </w:r>
      <w:r w:rsidR="00F555CA">
        <w:rPr>
          <w:b w:val="0"/>
        </w:rPr>
        <w:t>34 528 511,16</w:t>
      </w:r>
      <w:r>
        <w:rPr>
          <w:b w:val="0"/>
        </w:rPr>
        <w:t xml:space="preserve"> Kč a krátkodobými závazky ve výši </w:t>
      </w:r>
      <w:r w:rsidR="00F555CA">
        <w:rPr>
          <w:b w:val="0"/>
        </w:rPr>
        <w:t>48 336 353,92</w:t>
      </w:r>
      <w:r>
        <w:rPr>
          <w:b w:val="0"/>
        </w:rPr>
        <w:t xml:space="preserve"> Kč, kde největší položkou je částka ve výši </w:t>
      </w:r>
      <w:r w:rsidR="00F555CA">
        <w:rPr>
          <w:b w:val="0"/>
        </w:rPr>
        <w:t>35 018 750,08</w:t>
      </w:r>
      <w:r>
        <w:rPr>
          <w:b w:val="0"/>
        </w:rPr>
        <w:t xml:space="preserve"> Kč, která představuje zálohy na přijaté transfery</w:t>
      </w:r>
      <w:r w:rsidR="005305C6">
        <w:rPr>
          <w:b w:val="0"/>
        </w:rPr>
        <w:t xml:space="preserve"> (dotace)</w:t>
      </w:r>
      <w:r w:rsidR="00F74595">
        <w:rPr>
          <w:b w:val="0"/>
        </w:rPr>
        <w:t>, které podléhají finančnímu vypořádání.</w:t>
      </w:r>
      <w:r>
        <w:rPr>
          <w:b w:val="0"/>
        </w:rPr>
        <w:t xml:space="preserve"> </w:t>
      </w:r>
    </w:p>
    <w:p w:rsidR="00481D99" w:rsidRDefault="00481D99" w:rsidP="005022AE">
      <w:pPr>
        <w:spacing w:line="240" w:lineRule="auto"/>
      </w:pPr>
    </w:p>
    <w:p w:rsidR="005022AE" w:rsidRPr="00F74595" w:rsidRDefault="005022AE" w:rsidP="005022AE">
      <w:pPr>
        <w:spacing w:line="240" w:lineRule="auto"/>
        <w:rPr>
          <w:b w:val="0"/>
        </w:rPr>
      </w:pPr>
      <w:r>
        <w:t>Výkaz zisku a ztráty</w:t>
      </w: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skončilo v hlavní činnosti za rok 201</w:t>
      </w:r>
      <w:r w:rsidR="00FE28F3">
        <w:rPr>
          <w:b w:val="0"/>
        </w:rPr>
        <w:t>7</w:t>
      </w:r>
      <w:r>
        <w:rPr>
          <w:b w:val="0"/>
        </w:rPr>
        <w:t xml:space="preserve"> s výsledkem hospodaření ve výši </w:t>
      </w:r>
      <w:r w:rsidR="00550B0D">
        <w:rPr>
          <w:b w:val="0"/>
        </w:rPr>
        <w:t>37 323 187,98</w:t>
      </w:r>
      <w:r>
        <w:rPr>
          <w:b w:val="0"/>
        </w:rPr>
        <w:t xml:space="preserve"> Kč, náklady ve výši </w:t>
      </w:r>
      <w:r w:rsidR="00550B0D">
        <w:rPr>
          <w:b w:val="0"/>
        </w:rPr>
        <w:t>127 237 575,85</w:t>
      </w:r>
      <w:r>
        <w:rPr>
          <w:b w:val="0"/>
        </w:rPr>
        <w:t xml:space="preserve"> Kč a výnosy ve výši </w:t>
      </w:r>
      <w:r w:rsidR="00550B0D">
        <w:rPr>
          <w:b w:val="0"/>
        </w:rPr>
        <w:t>164 560 763,83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 xml:space="preserve">Hlavním zdrojem výnosů města Slavkov u Brna jsou výnosy ze sdílených daní a poplatků, které tvoří zhruba </w:t>
      </w:r>
      <w:r w:rsidR="00550B0D">
        <w:rPr>
          <w:b w:val="0"/>
        </w:rPr>
        <w:t>60,78</w:t>
      </w:r>
      <w:r>
        <w:rPr>
          <w:b w:val="0"/>
        </w:rPr>
        <w:t xml:space="preserve"> % všech výnosů. </w:t>
      </w:r>
      <w:r w:rsidR="000D4241">
        <w:rPr>
          <w:b w:val="0"/>
        </w:rPr>
        <w:t xml:space="preserve">Výnosy z transferů (dotace). </w:t>
      </w:r>
      <w:r>
        <w:rPr>
          <w:b w:val="0"/>
        </w:rPr>
        <w:t>Dalšími zdroji výnosů jsou výnosy z činnosti (</w:t>
      </w:r>
      <w:r w:rsidR="00550B0D">
        <w:rPr>
          <w:b w:val="0"/>
        </w:rPr>
        <w:t xml:space="preserve">jiné pokuty a penále, </w:t>
      </w:r>
      <w:r>
        <w:rPr>
          <w:b w:val="0"/>
        </w:rPr>
        <w:t>ze správních poplatků, z poplatků za komunální odpad</w:t>
      </w:r>
      <w:r w:rsidR="00550B0D">
        <w:rPr>
          <w:b w:val="0"/>
        </w:rPr>
        <w:t>)</w:t>
      </w:r>
      <w:r w:rsidR="000D4241">
        <w:rPr>
          <w:b w:val="0"/>
        </w:rPr>
        <w:t>.</w:t>
      </w:r>
      <w:r>
        <w:rPr>
          <w:b w:val="0"/>
        </w:rPr>
        <w:t xml:space="preserve">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Největší nákladovou položkou jsou náklady z činnosti (</w:t>
      </w:r>
      <w:r w:rsidR="000D4241">
        <w:rPr>
          <w:b w:val="0"/>
        </w:rPr>
        <w:t>osobní</w:t>
      </w:r>
      <w:r>
        <w:rPr>
          <w:b w:val="0"/>
        </w:rPr>
        <w:t xml:space="preserve"> náklady, náklady na odpisy dlouhodobého majetku, náklady na služby, opravy a udržování). Náklady na neinvestiční příspěvky zřízeným příspěvkovým organizacím a poskytnuté dotace spolkům a zájmovým sdružením.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Údaje o stavu a vývoji majetku za běžný rok včetně popisu významných vlivů na změny stavů viz příloha č. 2 -  Zpráva o výsledku přezkoumání hospodaření za rok 201</w:t>
      </w:r>
      <w:r w:rsidR="00481D99">
        <w:rPr>
          <w:b w:val="0"/>
        </w:rPr>
        <w:t>7</w:t>
      </w:r>
      <w:r>
        <w:rPr>
          <w:b w:val="0"/>
        </w:rPr>
        <w:t xml:space="preserve"> města Slavkov u Brna (Rozvaha, Výkaz zisku a ztráty, Příloha účetní závěrky, Přehled o peněžních tocích, Přehled o změnách vlastního kapitálu, Výkaz pro hodnocení plnění rozpočtu), příloha č. 1 – Závěrečný účet</w:t>
      </w:r>
      <w:r w:rsidR="000D4241">
        <w:rPr>
          <w:b w:val="0"/>
        </w:rPr>
        <w:t xml:space="preserve"> 2017</w:t>
      </w:r>
      <w:r>
        <w:rPr>
          <w:b w:val="0"/>
        </w:rPr>
        <w:t>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 xml:space="preserve">Tvorba a použití </w:t>
      </w:r>
      <w:r w:rsidR="004220B1">
        <w:t xml:space="preserve">peněžních </w:t>
      </w:r>
      <w:r>
        <w:t>fondů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vytvářelo v roce 201</w:t>
      </w:r>
      <w:r w:rsidR="000D4241">
        <w:rPr>
          <w:b w:val="0"/>
        </w:rPr>
        <w:t>7</w:t>
      </w:r>
      <w:r w:rsidR="00BA55B5">
        <w:rPr>
          <w:b w:val="0"/>
        </w:rPr>
        <w:t xml:space="preserve"> následující fondy</w:t>
      </w:r>
      <w:r>
        <w:rPr>
          <w:b w:val="0"/>
        </w:rPr>
        <w:t>:</w:t>
      </w:r>
    </w:p>
    <w:p w:rsidR="00CD43D3" w:rsidRDefault="00CD43D3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>Sociální fond</w:t>
      </w:r>
      <w:r>
        <w:rPr>
          <w:b w:val="0"/>
        </w:rPr>
        <w:t xml:space="preserve">, dle Zásad, čerpání fondu probíhalo v rámci rozpočtových výdajových položek sociálního fondu, který je součástí rozpočtu města Slavkov u Brna. Počáteční stav fondu ve výši </w:t>
      </w:r>
      <w:r w:rsidR="000D4241">
        <w:rPr>
          <w:b w:val="0"/>
        </w:rPr>
        <w:t>176 566,01</w:t>
      </w:r>
      <w:r>
        <w:rPr>
          <w:b w:val="0"/>
        </w:rPr>
        <w:t xml:space="preserve"> Kč a zůstatek na fondu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220 640,35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rozvoje bydlení </w:t>
      </w:r>
      <w:r>
        <w:rPr>
          <w:b w:val="0"/>
        </w:rPr>
        <w:t xml:space="preserve">dle Zásad, s počátečním stavem ve výši </w:t>
      </w:r>
      <w:r w:rsidR="000D4241">
        <w:rPr>
          <w:b w:val="0"/>
        </w:rPr>
        <w:t>936 740,22</w:t>
      </w:r>
      <w:r>
        <w:rPr>
          <w:b w:val="0"/>
        </w:rPr>
        <w:t xml:space="preserve"> Kč a zůstatkem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936 833,94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rezerv a rozvoje </w:t>
      </w:r>
      <w:r>
        <w:rPr>
          <w:b w:val="0"/>
        </w:rPr>
        <w:t xml:space="preserve">dle Zásad, s počátečním stavem ve výši </w:t>
      </w:r>
      <w:r w:rsidR="000D4241">
        <w:rPr>
          <w:b w:val="0"/>
        </w:rPr>
        <w:t>18 769 259,68</w:t>
      </w:r>
      <w:r>
        <w:rPr>
          <w:b w:val="0"/>
        </w:rPr>
        <w:t xml:space="preserve"> Kč a konečným stavem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18 769 259,68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bydlení dle </w:t>
      </w:r>
      <w:r>
        <w:rPr>
          <w:b w:val="0"/>
        </w:rPr>
        <w:t>Zásad,</w:t>
      </w:r>
      <w:r>
        <w:t xml:space="preserve"> </w:t>
      </w:r>
      <w:r>
        <w:rPr>
          <w:b w:val="0"/>
        </w:rPr>
        <w:t xml:space="preserve">s počátečním stavem ve výši </w:t>
      </w:r>
      <w:r w:rsidR="000D4241">
        <w:rPr>
          <w:b w:val="0"/>
        </w:rPr>
        <w:t>4 721 431,99</w:t>
      </w:r>
      <w:r>
        <w:rPr>
          <w:b w:val="0"/>
        </w:rPr>
        <w:t xml:space="preserve"> Kč a zůstatkem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2 233 147,16</w:t>
      </w:r>
      <w:r>
        <w:rPr>
          <w:b w:val="0"/>
        </w:rPr>
        <w:t xml:space="preserve"> Kč.</w:t>
      </w:r>
    </w:p>
    <w:p w:rsidR="00C938DC" w:rsidRDefault="00C938DC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Podrobněji v příloze č. 1 – Závěrečný účet</w:t>
      </w:r>
      <w:r w:rsidR="000D4241">
        <w:rPr>
          <w:b w:val="0"/>
        </w:rPr>
        <w:t xml:space="preserve"> 2017</w:t>
      </w: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lastRenderedPageBreak/>
        <w:t>Vyúčtování finančních vztahů ke státnímu rozpočtu a ostatním rozpočtům veřejné úrovně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</w:pPr>
      <w:r>
        <w:t>Přijaté dotace</w:t>
      </w:r>
    </w:p>
    <w:p w:rsidR="005022AE" w:rsidRDefault="00C938DC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Přijaté transfery (</w:t>
      </w:r>
      <w:r w:rsidR="005022AE">
        <w:rPr>
          <w:b w:val="0"/>
        </w:rPr>
        <w:t>dotace) do rozpočtu města Slavkov u Brna v roce 201</w:t>
      </w:r>
      <w:r w:rsidR="000D4241">
        <w:rPr>
          <w:b w:val="0"/>
        </w:rPr>
        <w:t>7</w:t>
      </w:r>
      <w:r w:rsidR="005022AE">
        <w:rPr>
          <w:b w:val="0"/>
        </w:rPr>
        <w:t xml:space="preserve"> ze SR, SF, EU byly poskytnuty celkem ve výši </w:t>
      </w:r>
      <w:r w:rsidR="000D4241">
        <w:rPr>
          <w:b w:val="0"/>
        </w:rPr>
        <w:t>36 074</w:t>
      </w:r>
      <w:r w:rsidR="00FC09E5">
        <w:rPr>
          <w:b w:val="0"/>
        </w:rPr>
        <w:t> </w:t>
      </w:r>
      <w:r w:rsidR="000D4241">
        <w:rPr>
          <w:b w:val="0"/>
        </w:rPr>
        <w:t>826</w:t>
      </w:r>
      <w:r w:rsidR="00FC09E5">
        <w:rPr>
          <w:b w:val="0"/>
        </w:rPr>
        <w:t>,25</w:t>
      </w:r>
      <w:r w:rsidR="005022AE">
        <w:rPr>
          <w:b w:val="0"/>
        </w:rPr>
        <w:t xml:space="preserve"> Kč. Dotace z</w:t>
      </w:r>
      <w:r>
        <w:rPr>
          <w:b w:val="0"/>
        </w:rPr>
        <w:t xml:space="preserve"> rozpočtu </w:t>
      </w:r>
      <w:r w:rsidR="005022AE">
        <w:rPr>
          <w:b w:val="0"/>
        </w:rPr>
        <w:t xml:space="preserve">JMK byly poskytnuty ve výši </w:t>
      </w:r>
      <w:r>
        <w:rPr>
          <w:b w:val="0"/>
        </w:rPr>
        <w:t xml:space="preserve">1 355 000 </w:t>
      </w:r>
      <w:r w:rsidR="005022AE">
        <w:rPr>
          <w:b w:val="0"/>
        </w:rPr>
        <w:t xml:space="preserve">Kč.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 xml:space="preserve">Ukončené dotační projekty byly řádně vyúčtovány, </w:t>
      </w:r>
      <w:r w:rsidR="00FC09E5">
        <w:rPr>
          <w:b w:val="0"/>
        </w:rPr>
        <w:t xml:space="preserve">finančně vypořádány a </w:t>
      </w:r>
      <w:r>
        <w:rPr>
          <w:b w:val="0"/>
        </w:rPr>
        <w:t xml:space="preserve">v řádném termínu proběhla vratka ve výši </w:t>
      </w:r>
      <w:r w:rsidR="00FC09E5">
        <w:rPr>
          <w:b w:val="0"/>
        </w:rPr>
        <w:t>303 690,17</w:t>
      </w:r>
      <w:r>
        <w:rPr>
          <w:b w:val="0"/>
        </w:rPr>
        <w:t xml:space="preserve"> Kč. 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</w:pPr>
      <w:r>
        <w:t>Poskytnuté dotace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V roce 201</w:t>
      </w:r>
      <w:r w:rsidR="00FC09E5">
        <w:rPr>
          <w:b w:val="0"/>
        </w:rPr>
        <w:t>7</w:t>
      </w:r>
      <w:r>
        <w:rPr>
          <w:b w:val="0"/>
        </w:rPr>
        <w:t xml:space="preserve"> </w:t>
      </w:r>
      <w:r w:rsidR="00FC09E5">
        <w:rPr>
          <w:b w:val="0"/>
        </w:rPr>
        <w:t xml:space="preserve">město Slavkov u Brna </w:t>
      </w:r>
      <w:r>
        <w:rPr>
          <w:b w:val="0"/>
        </w:rPr>
        <w:t>poskyt</w:t>
      </w:r>
      <w:r w:rsidR="00FC09E5">
        <w:rPr>
          <w:b w:val="0"/>
        </w:rPr>
        <w:t xml:space="preserve">lo žadatelům </w:t>
      </w:r>
      <w:r>
        <w:rPr>
          <w:b w:val="0"/>
        </w:rPr>
        <w:t>dotac</w:t>
      </w:r>
      <w:r w:rsidR="00FC09E5">
        <w:rPr>
          <w:b w:val="0"/>
        </w:rPr>
        <w:t>i</w:t>
      </w:r>
      <w:r>
        <w:rPr>
          <w:b w:val="0"/>
        </w:rPr>
        <w:t xml:space="preserve"> v celkové výši 1 </w:t>
      </w:r>
      <w:r w:rsidR="00FC09E5">
        <w:rPr>
          <w:b w:val="0"/>
        </w:rPr>
        <w:t>734</w:t>
      </w:r>
      <w:r>
        <w:rPr>
          <w:b w:val="0"/>
        </w:rPr>
        <w:t> </w:t>
      </w:r>
      <w:r w:rsidR="00FC09E5">
        <w:rPr>
          <w:b w:val="0"/>
        </w:rPr>
        <w:t>4</w:t>
      </w:r>
      <w:r>
        <w:rPr>
          <w:b w:val="0"/>
        </w:rPr>
        <w:t xml:space="preserve">00 Kč.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Podrobněji v příloze č. 1 – Závěrečný účet</w:t>
      </w:r>
      <w:r w:rsidR="00FC09E5">
        <w:rPr>
          <w:b w:val="0"/>
        </w:rPr>
        <w:t xml:space="preserve"> 2017</w:t>
      </w:r>
      <w:r>
        <w:rPr>
          <w:b w:val="0"/>
        </w:rPr>
        <w:t>.</w:t>
      </w:r>
    </w:p>
    <w:p w:rsidR="005022AE" w:rsidRPr="00D0503C" w:rsidRDefault="005022AE" w:rsidP="00D0503C">
      <w:pPr>
        <w:spacing w:line="240" w:lineRule="auto"/>
        <w:rPr>
          <w:b w:val="0"/>
        </w:rPr>
      </w:pPr>
    </w:p>
    <w:p w:rsidR="005022AE" w:rsidRPr="009A244B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 w:rsidRPr="009A244B">
        <w:t>Hospodářská činnost města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vykonávalo v roce 201</w:t>
      </w:r>
      <w:r w:rsidR="00FC09E5">
        <w:rPr>
          <w:b w:val="0"/>
        </w:rPr>
        <w:t>7</w:t>
      </w:r>
      <w:r>
        <w:rPr>
          <w:b w:val="0"/>
        </w:rPr>
        <w:t xml:space="preserve"> hospodářskou činnost v oblasti bytového a tepelného hospodářství (dále jen BTH).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rFonts w:asciiTheme="majorHAnsi" w:hAnsiTheme="majorHAnsi"/>
          <w:b w:val="0"/>
          <w:szCs w:val="22"/>
        </w:rPr>
      </w:pPr>
      <w:r>
        <w:rPr>
          <w:b w:val="0"/>
        </w:rPr>
        <w:t>Celkové výnosy v roce 201</w:t>
      </w:r>
      <w:r w:rsidR="00FC09E5">
        <w:rPr>
          <w:b w:val="0"/>
        </w:rPr>
        <w:t>7</w:t>
      </w:r>
      <w:r>
        <w:rPr>
          <w:b w:val="0"/>
        </w:rPr>
        <w:t xml:space="preserve"> byly ve výši </w:t>
      </w:r>
      <w:r w:rsidR="00FC09E5">
        <w:rPr>
          <w:b w:val="0"/>
        </w:rPr>
        <w:t>22 096 879,86</w:t>
      </w:r>
      <w:r>
        <w:rPr>
          <w:b w:val="0"/>
        </w:rPr>
        <w:t xml:space="preserve"> Kč a náklady ve výši </w:t>
      </w:r>
      <w:r w:rsidR="00FC09E5">
        <w:rPr>
          <w:b w:val="0"/>
        </w:rPr>
        <w:t>15 408 925,87</w:t>
      </w:r>
      <w:r>
        <w:rPr>
          <w:b w:val="0"/>
        </w:rPr>
        <w:t xml:space="preserve"> Kč. Hospodářský výsledek za účetní rok 201</w:t>
      </w:r>
      <w:r w:rsidR="00FC09E5">
        <w:rPr>
          <w:b w:val="0"/>
        </w:rPr>
        <w:t>7</w:t>
      </w:r>
      <w:r>
        <w:rPr>
          <w:b w:val="0"/>
        </w:rPr>
        <w:t xml:space="preserve"> před zdaněním ve výši </w:t>
      </w:r>
      <w:r w:rsidR="00FC09E5">
        <w:rPr>
          <w:b w:val="0"/>
        </w:rPr>
        <w:t>8 729 123,99</w:t>
      </w:r>
      <w:r>
        <w:rPr>
          <w:b w:val="0"/>
        </w:rPr>
        <w:t xml:space="preserve"> Kč, daň z příjmů právnických osob za obce ve výši </w:t>
      </w:r>
      <w:r w:rsidR="00FC09E5">
        <w:rPr>
          <w:b w:val="0"/>
        </w:rPr>
        <w:t>2 041 170</w:t>
      </w:r>
      <w:r>
        <w:rPr>
          <w:b w:val="0"/>
        </w:rPr>
        <w:t xml:space="preserve"> Kč a hospodářský výsledek po zdanění ve výši </w:t>
      </w:r>
      <w:r w:rsidR="00FC09E5">
        <w:rPr>
          <w:b w:val="0"/>
        </w:rPr>
        <w:t>6 687 953,99</w:t>
      </w:r>
      <w:r>
        <w:rPr>
          <w:b w:val="0"/>
        </w:rPr>
        <w:t xml:space="preserve"> Kč.  </w:t>
      </w:r>
      <w:r>
        <w:rPr>
          <w:rFonts w:asciiTheme="majorHAnsi" w:hAnsiTheme="majorHAnsi"/>
          <w:b w:val="0"/>
          <w:szCs w:val="22"/>
        </w:rPr>
        <w:t>Dne 2</w:t>
      </w:r>
      <w:r w:rsidR="00FC09E5">
        <w:rPr>
          <w:rFonts w:asciiTheme="majorHAnsi" w:hAnsiTheme="majorHAnsi"/>
          <w:b w:val="0"/>
          <w:szCs w:val="22"/>
        </w:rPr>
        <w:t>6</w:t>
      </w:r>
      <w:r>
        <w:rPr>
          <w:rFonts w:asciiTheme="majorHAnsi" w:hAnsiTheme="majorHAnsi"/>
          <w:b w:val="0"/>
          <w:szCs w:val="22"/>
        </w:rPr>
        <w:t>. 3. 201</w:t>
      </w:r>
      <w:r w:rsidR="00110EBC">
        <w:rPr>
          <w:rFonts w:asciiTheme="majorHAnsi" w:hAnsiTheme="majorHAnsi"/>
          <w:b w:val="0"/>
          <w:szCs w:val="22"/>
        </w:rPr>
        <w:t>8</w:t>
      </w:r>
      <w:r>
        <w:rPr>
          <w:rFonts w:asciiTheme="majorHAnsi" w:hAnsiTheme="majorHAnsi"/>
          <w:b w:val="0"/>
          <w:szCs w:val="22"/>
        </w:rPr>
        <w:t xml:space="preserve"> na </w:t>
      </w:r>
      <w:r w:rsidR="00110EBC">
        <w:rPr>
          <w:rFonts w:asciiTheme="majorHAnsi" w:hAnsiTheme="majorHAnsi"/>
          <w:b w:val="0"/>
          <w:szCs w:val="22"/>
        </w:rPr>
        <w:t>23</w:t>
      </w:r>
      <w:r>
        <w:rPr>
          <w:rFonts w:asciiTheme="majorHAnsi" w:hAnsiTheme="majorHAnsi"/>
          <w:b w:val="0"/>
          <w:szCs w:val="22"/>
        </w:rPr>
        <w:t>. schůzi ZM byl</w:t>
      </w:r>
      <w:r w:rsidR="00110EBC">
        <w:rPr>
          <w:rFonts w:asciiTheme="majorHAnsi" w:hAnsiTheme="majorHAnsi"/>
          <w:b w:val="0"/>
          <w:szCs w:val="22"/>
        </w:rPr>
        <w:t>a</w:t>
      </w:r>
      <w:r>
        <w:rPr>
          <w:rFonts w:asciiTheme="majorHAnsi" w:hAnsiTheme="majorHAnsi"/>
          <w:b w:val="0"/>
          <w:szCs w:val="22"/>
        </w:rPr>
        <w:t xml:space="preserve"> schválen</w:t>
      </w:r>
      <w:r w:rsidR="00110EBC">
        <w:rPr>
          <w:rFonts w:asciiTheme="majorHAnsi" w:hAnsiTheme="majorHAnsi"/>
          <w:b w:val="0"/>
          <w:szCs w:val="22"/>
        </w:rPr>
        <w:t xml:space="preserve">a účetní závěrka města k rozvahovému dni 31. 12. 2017, </w:t>
      </w:r>
      <w:r>
        <w:rPr>
          <w:rFonts w:asciiTheme="majorHAnsi" w:hAnsiTheme="majorHAnsi"/>
          <w:b w:val="0"/>
          <w:szCs w:val="22"/>
        </w:rPr>
        <w:t>hospodářský výsledek a jeho rozdělení do fondu bytového a tepelného hospod</w:t>
      </w:r>
      <w:r w:rsidR="00E91E81">
        <w:rPr>
          <w:rFonts w:asciiTheme="majorHAnsi" w:hAnsiTheme="majorHAnsi"/>
          <w:b w:val="0"/>
          <w:szCs w:val="22"/>
        </w:rPr>
        <w:t>á</w:t>
      </w:r>
      <w:r>
        <w:rPr>
          <w:rFonts w:asciiTheme="majorHAnsi" w:hAnsiTheme="majorHAnsi"/>
          <w:b w:val="0"/>
          <w:szCs w:val="22"/>
        </w:rPr>
        <w:t>ř</w:t>
      </w:r>
      <w:r w:rsidR="00E91E81">
        <w:rPr>
          <w:rFonts w:asciiTheme="majorHAnsi" w:hAnsiTheme="majorHAnsi"/>
          <w:b w:val="0"/>
          <w:szCs w:val="22"/>
        </w:rPr>
        <w:t>ství</w:t>
      </w:r>
      <w:r>
        <w:rPr>
          <w:rFonts w:asciiTheme="majorHAnsi" w:hAnsiTheme="majorHAnsi"/>
          <w:b w:val="0"/>
          <w:szCs w:val="22"/>
        </w:rPr>
        <w:t>.</w:t>
      </w:r>
    </w:p>
    <w:p w:rsidR="005022AE" w:rsidRDefault="005022AE" w:rsidP="005022AE">
      <w:pPr>
        <w:spacing w:line="240" w:lineRule="auto"/>
        <w:rPr>
          <w:rFonts w:asciiTheme="majorHAnsi" w:hAnsiTheme="majorHAnsi"/>
          <w:b w:val="0"/>
          <w:szCs w:val="22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Výnosy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  <w:r w:rsidRPr="009A244B">
        <w:rPr>
          <w:rFonts w:asciiTheme="majorHAnsi" w:hAnsiTheme="majorHAnsi" w:cs="Calibri"/>
          <w:b w:val="0"/>
          <w:szCs w:val="22"/>
        </w:rPr>
        <w:t xml:space="preserve">Výnosy z pronájmů bytů i nebytových prostor - včetně </w:t>
      </w:r>
      <w:r w:rsidR="00CB6B34">
        <w:rPr>
          <w:rFonts w:asciiTheme="majorHAnsi" w:hAnsiTheme="majorHAnsi" w:cs="Calibri"/>
          <w:b w:val="0"/>
          <w:szCs w:val="22"/>
        </w:rPr>
        <w:t>p</w:t>
      </w:r>
      <w:r w:rsidRPr="009A244B">
        <w:rPr>
          <w:rFonts w:asciiTheme="majorHAnsi" w:hAnsiTheme="majorHAnsi" w:cs="Calibri"/>
          <w:b w:val="0"/>
          <w:szCs w:val="22"/>
        </w:rPr>
        <w:t>olikliniky jsou realizovány na základě uzavřených nájemních smluv, čemuž odpovídá výše plnění 103,67 %  ve vztahu k hodnocenému období. Nájemné bylo vybráno v celkové výši 14 964 271,63 Kč. Plnění u prodeje tepla je dáno topnou sezónou a odpovídá hodnocenému období.</w:t>
      </w: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</w:p>
    <w:p w:rsidR="009A244B" w:rsidRPr="009A244B" w:rsidRDefault="009A244B" w:rsidP="009A244B">
      <w:pPr>
        <w:rPr>
          <w:rFonts w:asciiTheme="majorHAnsi" w:hAnsiTheme="majorHAnsi"/>
          <w:b w:val="0"/>
        </w:rPr>
      </w:pPr>
      <w:r w:rsidRPr="009A244B">
        <w:rPr>
          <w:rFonts w:asciiTheme="majorHAnsi" w:hAnsiTheme="majorHAnsi" w:cs="Calibri"/>
          <w:b w:val="0"/>
          <w:szCs w:val="22"/>
        </w:rPr>
        <w:t>Pohledávky k datu 31.</w:t>
      </w:r>
      <w:r>
        <w:rPr>
          <w:rFonts w:asciiTheme="majorHAnsi" w:hAnsiTheme="majorHAnsi" w:cs="Calibri"/>
          <w:b w:val="0"/>
          <w:szCs w:val="22"/>
        </w:rPr>
        <w:t xml:space="preserve"> </w:t>
      </w:r>
      <w:r w:rsidRPr="009A244B">
        <w:rPr>
          <w:rFonts w:asciiTheme="majorHAnsi" w:hAnsiTheme="majorHAnsi" w:cs="Calibri"/>
          <w:b w:val="0"/>
          <w:szCs w:val="22"/>
        </w:rPr>
        <w:t>12.</w:t>
      </w:r>
      <w:r>
        <w:rPr>
          <w:rFonts w:asciiTheme="majorHAnsi" w:hAnsiTheme="majorHAnsi" w:cs="Calibri"/>
          <w:b w:val="0"/>
          <w:szCs w:val="22"/>
        </w:rPr>
        <w:t xml:space="preserve"> </w:t>
      </w:r>
      <w:r w:rsidRPr="009A244B">
        <w:rPr>
          <w:rFonts w:asciiTheme="majorHAnsi" w:hAnsiTheme="majorHAnsi" w:cs="Calibri"/>
          <w:b w:val="0"/>
          <w:szCs w:val="22"/>
        </w:rPr>
        <w:t>2017 činí 3 064 363,81 Kč. Pohledávky za výrobu a prodej tepla, ve výši cca 700 tis. Kč, bud</w:t>
      </w:r>
      <w:r w:rsidR="00E91E81">
        <w:rPr>
          <w:rFonts w:asciiTheme="majorHAnsi" w:hAnsiTheme="majorHAnsi" w:cs="Calibri"/>
          <w:b w:val="0"/>
          <w:szCs w:val="22"/>
        </w:rPr>
        <w:t>ou</w:t>
      </w:r>
      <w:r w:rsidRPr="009A244B">
        <w:rPr>
          <w:rFonts w:asciiTheme="majorHAnsi" w:hAnsiTheme="majorHAnsi" w:cs="Calibri"/>
          <w:b w:val="0"/>
          <w:szCs w:val="22"/>
        </w:rPr>
        <w:t xml:space="preserve"> snížen</w:t>
      </w:r>
      <w:r w:rsidR="00E91E81">
        <w:rPr>
          <w:rFonts w:asciiTheme="majorHAnsi" w:hAnsiTheme="majorHAnsi" w:cs="Calibri"/>
          <w:b w:val="0"/>
          <w:szCs w:val="22"/>
        </w:rPr>
        <w:t>y</w:t>
      </w:r>
      <w:r w:rsidRPr="009A244B">
        <w:rPr>
          <w:rFonts w:asciiTheme="majorHAnsi" w:hAnsiTheme="majorHAnsi" w:cs="Calibri"/>
          <w:b w:val="0"/>
          <w:szCs w:val="22"/>
        </w:rPr>
        <w:t xml:space="preserve"> formou úhrady faktur za prodej této komodity a za vyúčtování, které proběhne v I. čtvrtletí roku 2018. Tím dojde k narovnání stavu a snížení objemu pohledávek v oblasti tepla. </w:t>
      </w:r>
      <w:r w:rsidRPr="009A244B">
        <w:rPr>
          <w:rFonts w:asciiTheme="majorHAnsi" w:hAnsiTheme="majorHAnsi"/>
          <w:b w:val="0"/>
          <w:szCs w:val="22"/>
        </w:rPr>
        <w:t xml:space="preserve"> </w:t>
      </w:r>
    </w:p>
    <w:p w:rsidR="005022AE" w:rsidRDefault="005022AE" w:rsidP="005022AE">
      <w:pPr>
        <w:rPr>
          <w:rFonts w:ascii="Calibri" w:hAnsi="Calibri" w:cs="Calibri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bCs/>
          <w:szCs w:val="22"/>
        </w:rPr>
      </w:pPr>
      <w:r>
        <w:rPr>
          <w:rFonts w:asciiTheme="majorHAnsi" w:hAnsiTheme="majorHAnsi" w:cs="Calibri"/>
          <w:bCs/>
          <w:szCs w:val="22"/>
        </w:rPr>
        <w:t>Náklady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  <w:r w:rsidRPr="009A244B">
        <w:rPr>
          <w:rFonts w:asciiTheme="majorHAnsi" w:hAnsiTheme="majorHAnsi" w:cs="Calibri"/>
          <w:b w:val="0"/>
          <w:szCs w:val="22"/>
        </w:rPr>
        <w:t>Čerpání nákladů jako celku plně odpovídá hodnocenému období  (81,66 %), což vypovídá o celkově uspořených nákladech.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0A1C1B" w:rsidRPr="00AC62F8" w:rsidRDefault="005022AE" w:rsidP="000A1C1B">
      <w:pPr>
        <w:rPr>
          <w:rFonts w:ascii="Calibri" w:hAnsi="Calibri"/>
          <w:szCs w:val="22"/>
        </w:rPr>
      </w:pPr>
      <w:r>
        <w:rPr>
          <w:rFonts w:asciiTheme="majorHAnsi" w:hAnsiTheme="majorHAnsi" w:cs="Calibri"/>
          <w:szCs w:val="22"/>
        </w:rPr>
        <w:t>Bytové domy</w:t>
      </w:r>
      <w:r>
        <w:rPr>
          <w:rFonts w:asciiTheme="majorHAnsi" w:hAnsiTheme="majorHAnsi" w:cs="Calibri"/>
          <w:b w:val="0"/>
          <w:szCs w:val="22"/>
        </w:rPr>
        <w:t xml:space="preserve"> – </w:t>
      </w:r>
      <w:r w:rsidR="000A1C1B" w:rsidRPr="000A1C1B">
        <w:rPr>
          <w:rFonts w:cs="Calibri"/>
          <w:b w:val="0"/>
          <w:szCs w:val="22"/>
        </w:rPr>
        <w:t>čerpání nákladů bytových domů je v souladu s plánovanými náklady v oblasti oprav, udržování, služeb i ostatních nákladů.</w:t>
      </w:r>
      <w:r w:rsidR="000A1C1B" w:rsidRPr="00AC62F8">
        <w:rPr>
          <w:rFonts w:ascii="Calibri" w:hAnsi="Calibri" w:cs="Calibri"/>
          <w:szCs w:val="22"/>
        </w:rPr>
        <w:t xml:space="preserve">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t>Nebytové prostory</w:t>
      </w:r>
      <w:r>
        <w:rPr>
          <w:rFonts w:asciiTheme="majorHAnsi" w:hAnsiTheme="majorHAnsi" w:cs="Calibri"/>
          <w:b w:val="0"/>
          <w:szCs w:val="22"/>
        </w:rPr>
        <w:t xml:space="preserve">  -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všechny plánované položky jsou v souladu s plánovanými náklady.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lastRenderedPageBreak/>
        <w:t>Správa bytového, nebytového a tepelného hospodářství</w:t>
      </w:r>
      <w:r>
        <w:rPr>
          <w:rFonts w:asciiTheme="majorHAnsi" w:hAnsiTheme="majorHAnsi" w:cs="Calibri"/>
          <w:b w:val="0"/>
          <w:szCs w:val="22"/>
        </w:rPr>
        <w:t xml:space="preserve"> -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jedná se o náklady související se správou uvedených nemovitostí, resp. výrobou a dodávkami tepelné energie. Tyto jsou dle poměrného klíče rozúčtovány jednotlivým činnostem.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Kotelny </w:t>
      </w:r>
    </w:p>
    <w:p w:rsidR="00E91E81" w:rsidRDefault="00E91E81" w:rsidP="00E91E81">
      <w:pPr>
        <w:spacing w:line="240" w:lineRule="auto"/>
        <w:rPr>
          <w:rFonts w:asciiTheme="majorHAnsi" w:hAnsiTheme="majorHAnsi" w:cs="Calibri"/>
          <w:szCs w:val="22"/>
        </w:rPr>
      </w:pPr>
    </w:p>
    <w:p w:rsidR="00E91E81" w:rsidRDefault="005022AE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szCs w:val="22"/>
        </w:rPr>
        <w:t xml:space="preserve">Kotelna Zlatá Hora </w:t>
      </w:r>
      <w:r w:rsidRPr="00E91E81">
        <w:rPr>
          <w:rFonts w:asciiTheme="majorHAnsi" w:hAnsiTheme="majorHAnsi" w:cs="Calibri"/>
          <w:b w:val="0"/>
          <w:szCs w:val="22"/>
        </w:rPr>
        <w:t xml:space="preserve">– </w:t>
      </w:r>
      <w:r w:rsidR="00E91E81" w:rsidRPr="00E91E81">
        <w:rPr>
          <w:rFonts w:asciiTheme="majorHAnsi" w:hAnsiTheme="majorHAnsi" w:cs="Calibri"/>
          <w:b w:val="0"/>
          <w:szCs w:val="22"/>
        </w:rPr>
        <w:t>v souvislosti s probíhající rekonstrukcí byly drobné opravy financovány z běžného rozpočtu kotelny Zlatá Hora, proto došlo k překročení některých plánovaných nákladů.</w:t>
      </w:r>
    </w:p>
    <w:p w:rsidR="00E91E81" w:rsidRPr="00E91E81" w:rsidRDefault="00E91E81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5022AE" w:rsidRPr="00E91E81" w:rsidRDefault="005022AE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t xml:space="preserve">Kotelna DPS Polní 1444 </w:t>
      </w:r>
      <w:r>
        <w:rPr>
          <w:rFonts w:asciiTheme="majorHAnsi" w:hAnsiTheme="majorHAnsi" w:cs="Calibri"/>
          <w:b w:val="0"/>
          <w:szCs w:val="22"/>
        </w:rPr>
        <w:t xml:space="preserve">- </w:t>
      </w:r>
      <w:r w:rsidR="00E91E81" w:rsidRPr="00E91E81">
        <w:rPr>
          <w:rFonts w:asciiTheme="majorHAnsi" w:hAnsiTheme="majorHAnsi" w:cs="Calibri"/>
          <w:b w:val="0"/>
          <w:szCs w:val="22"/>
        </w:rPr>
        <w:t>čerpání nákladů je v souladu s plánovanými náklady.</w:t>
      </w:r>
    </w:p>
    <w:p w:rsidR="00E91E81" w:rsidRDefault="00E91E81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szCs w:val="22"/>
        </w:rPr>
        <w:t xml:space="preserve">Kotelna poliklinika </w:t>
      </w:r>
      <w:r w:rsidRPr="00E91E81">
        <w:rPr>
          <w:rFonts w:asciiTheme="majorHAnsi" w:hAnsiTheme="majorHAnsi" w:cs="Calibri"/>
          <w:b w:val="0"/>
          <w:szCs w:val="22"/>
        </w:rPr>
        <w:t xml:space="preserve">–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plnění odpovídá hodnocenému období. Celkové zařízení </w:t>
      </w:r>
      <w:r w:rsidR="00E91E81">
        <w:rPr>
          <w:rFonts w:asciiTheme="majorHAnsi" w:hAnsiTheme="majorHAnsi" w:cs="Calibri"/>
          <w:b w:val="0"/>
          <w:szCs w:val="22"/>
        </w:rPr>
        <w:t>k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otelny </w:t>
      </w:r>
      <w:r w:rsidR="00E91E81">
        <w:rPr>
          <w:rFonts w:asciiTheme="majorHAnsi" w:hAnsiTheme="majorHAnsi" w:cs="Calibri"/>
          <w:b w:val="0"/>
          <w:szCs w:val="22"/>
        </w:rPr>
        <w:t>p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oliklinika se pohybuje na hranici životnosti. </w:t>
      </w:r>
    </w:p>
    <w:p w:rsidR="005022AE" w:rsidRDefault="005022AE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5022AE" w:rsidRDefault="005022AE" w:rsidP="005022AE">
      <w:pPr>
        <w:spacing w:line="240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Kotelna Nádražní </w:t>
      </w:r>
      <w:r>
        <w:rPr>
          <w:rFonts w:asciiTheme="majorHAnsi" w:hAnsiTheme="majorHAnsi" w:cs="Calibri"/>
          <w:b w:val="0"/>
          <w:szCs w:val="22"/>
        </w:rPr>
        <w:t>– je v souladu s plánovanými náklady.</w:t>
      </w:r>
      <w:r>
        <w:rPr>
          <w:rFonts w:asciiTheme="majorHAnsi" w:hAnsiTheme="majorHAnsi" w:cs="Calibri"/>
          <w:szCs w:val="22"/>
        </w:rPr>
        <w:t xml:space="preserve"> 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E91E81" w:rsidRPr="00E91E81" w:rsidRDefault="00E91E81" w:rsidP="00E91E81">
      <w:pPr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b w:val="0"/>
          <w:szCs w:val="22"/>
        </w:rPr>
        <w:t>Čerpání u všech kotelen je vždy závislé na aktuálním počasí daného roku.</w:t>
      </w:r>
    </w:p>
    <w:p w:rsidR="00E91E81" w:rsidRDefault="00E91E81" w:rsidP="005022AE">
      <w:pPr>
        <w:rPr>
          <w:rFonts w:asciiTheme="majorHAnsi" w:hAnsiTheme="majorHAnsi" w:cs="Calibri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Poliklinika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b w:val="0"/>
          <w:szCs w:val="22"/>
        </w:rPr>
        <w:t>Čerpání odpovídá hodnocenému období. Na budově poliklinika docházelo celý rok k běžným opravám a udržování</w:t>
      </w:r>
      <w:r>
        <w:rPr>
          <w:rFonts w:asciiTheme="majorHAnsi" w:hAnsiTheme="majorHAnsi" w:cs="Calibri"/>
          <w:szCs w:val="22"/>
        </w:rPr>
        <w:t>.</w:t>
      </w:r>
    </w:p>
    <w:p w:rsidR="005022AE" w:rsidRDefault="005022AE" w:rsidP="005022AE">
      <w:pPr>
        <w:pStyle w:val="Zkladntextodsazen"/>
        <w:tabs>
          <w:tab w:val="left" w:pos="5103"/>
        </w:tabs>
        <w:rPr>
          <w:rFonts w:asciiTheme="majorHAnsi" w:hAnsiTheme="majorHAnsi" w:cs="Calibri"/>
          <w:sz w:val="22"/>
          <w:szCs w:val="22"/>
        </w:rPr>
      </w:pPr>
    </w:p>
    <w:p w:rsidR="005022AE" w:rsidRDefault="005022AE" w:rsidP="00F86BAC">
      <w:pPr>
        <w:pStyle w:val="Zkladntextodsazen"/>
        <w:tabs>
          <w:tab w:val="left" w:pos="5103"/>
        </w:tabs>
        <w:rPr>
          <w:b/>
        </w:rPr>
      </w:pPr>
      <w:r>
        <w:rPr>
          <w:rFonts w:asciiTheme="majorHAnsi" w:hAnsiTheme="majorHAnsi" w:cs="Calibri"/>
          <w:sz w:val="22"/>
          <w:szCs w:val="22"/>
        </w:rPr>
        <w:t xml:space="preserve">Osobní náklady (hrubé mzdy a s tím související zdravotní a sociální pojištění) hrazené organizací jsou mírně překročeny ve všech odvětvích </w:t>
      </w:r>
      <w:r w:rsidR="001D19A5">
        <w:rPr>
          <w:rFonts w:asciiTheme="majorHAnsi" w:hAnsiTheme="majorHAnsi" w:cs="Calibri"/>
          <w:sz w:val="22"/>
          <w:szCs w:val="22"/>
        </w:rPr>
        <w:t>BTH</w:t>
      </w:r>
      <w:r>
        <w:rPr>
          <w:rFonts w:asciiTheme="majorHAnsi" w:hAnsiTheme="majorHAnsi" w:cs="Calibri"/>
          <w:sz w:val="22"/>
          <w:szCs w:val="22"/>
        </w:rPr>
        <w:t xml:space="preserve"> především z důvodu nepředpokládaného zvýšení mezd o </w:t>
      </w:r>
      <w:r w:rsidR="00E91E81">
        <w:rPr>
          <w:rFonts w:asciiTheme="majorHAnsi" w:hAnsiTheme="majorHAnsi" w:cs="Calibri"/>
          <w:sz w:val="22"/>
          <w:szCs w:val="22"/>
        </w:rPr>
        <w:t>10</w:t>
      </w:r>
      <w:r>
        <w:rPr>
          <w:rFonts w:asciiTheme="majorHAnsi" w:hAnsiTheme="majorHAnsi" w:cs="Calibri"/>
          <w:sz w:val="22"/>
          <w:szCs w:val="22"/>
        </w:rPr>
        <w:t xml:space="preserve"> % v roce 201</w:t>
      </w:r>
      <w:r w:rsidR="00E91E81">
        <w:rPr>
          <w:rFonts w:asciiTheme="majorHAnsi" w:hAnsiTheme="majorHAnsi" w:cs="Calibri"/>
          <w:sz w:val="22"/>
          <w:szCs w:val="22"/>
        </w:rPr>
        <w:t>7</w:t>
      </w:r>
      <w:r>
        <w:rPr>
          <w:rFonts w:asciiTheme="majorHAnsi" w:hAnsiTheme="majorHAnsi" w:cs="Calibri"/>
          <w:sz w:val="22"/>
          <w:szCs w:val="22"/>
        </w:rPr>
        <w:t xml:space="preserve">. </w:t>
      </w:r>
      <w:r w:rsidR="001D19A5">
        <w:t xml:space="preserve">Na </w:t>
      </w:r>
      <w:r>
        <w:t>běžných účtech činil zůstatek k 31.12.201</w:t>
      </w:r>
      <w:r w:rsidR="001D19A5">
        <w:t>7</w:t>
      </w:r>
      <w:r>
        <w:t xml:space="preserve">  </w:t>
      </w:r>
      <w:r w:rsidR="001D19A5">
        <w:t>16 994 876,11</w:t>
      </w:r>
      <w: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</w:pPr>
      <w:r>
        <w:t>Fond bytového a tepelného hospod</w:t>
      </w:r>
      <w:r w:rsidR="001D19A5">
        <w:t>á</w:t>
      </w:r>
      <w:r>
        <w:t>ř</w:t>
      </w:r>
      <w:r w:rsidR="001D19A5">
        <w:t>ství</w:t>
      </w:r>
      <w:r>
        <w:t xml:space="preserve"> (dále jen fond BTH)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1D19A5" w:rsidP="005022AE">
      <w:pPr>
        <w:spacing w:line="240" w:lineRule="auto"/>
        <w:rPr>
          <w:b w:val="0"/>
        </w:rPr>
      </w:pPr>
      <w:r>
        <w:rPr>
          <w:b w:val="0"/>
        </w:rPr>
        <w:t>BTH</w:t>
      </w:r>
      <w:r w:rsidR="005022AE">
        <w:rPr>
          <w:b w:val="0"/>
        </w:rPr>
        <w:t xml:space="preserve"> tvoří a čerpá fond BTH dle Zásad.  Jeho počáteční stav roku 201</w:t>
      </w:r>
      <w:r>
        <w:rPr>
          <w:b w:val="0"/>
        </w:rPr>
        <w:t>7</w:t>
      </w:r>
      <w:r w:rsidR="005022AE">
        <w:rPr>
          <w:b w:val="0"/>
        </w:rPr>
        <w:t xml:space="preserve"> byl ve výši </w:t>
      </w:r>
      <w:r>
        <w:rPr>
          <w:b w:val="0"/>
        </w:rPr>
        <w:t>9 938 445,85</w:t>
      </w:r>
      <w:r w:rsidR="005022AE">
        <w:rPr>
          <w:b w:val="0"/>
        </w:rPr>
        <w:t xml:space="preserve"> Kč. Zůstatek fondu BTH k 31. 12. 201</w:t>
      </w:r>
      <w:r>
        <w:rPr>
          <w:b w:val="0"/>
        </w:rPr>
        <w:t>7</w:t>
      </w:r>
      <w:r w:rsidR="005022AE">
        <w:rPr>
          <w:b w:val="0"/>
        </w:rPr>
        <w:t xml:space="preserve"> byl ve výši </w:t>
      </w:r>
      <w:r>
        <w:rPr>
          <w:b w:val="0"/>
        </w:rPr>
        <w:t>9 582 461,52</w:t>
      </w:r>
      <w:r w:rsidR="005022AE">
        <w:rPr>
          <w:b w:val="0"/>
        </w:rPr>
        <w:t xml:space="preserve"> Kč. </w:t>
      </w:r>
    </w:p>
    <w:p w:rsidR="001D19A5" w:rsidRDefault="001D19A5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 uvedeno v příloze č. 1 – Závěrečný účet</w:t>
      </w:r>
      <w:r w:rsidR="00110EBC">
        <w:rPr>
          <w:b w:val="0"/>
        </w:rPr>
        <w:t xml:space="preserve"> 2017</w:t>
      </w:r>
      <w:r>
        <w:rPr>
          <w:b w:val="0"/>
        </w:rPr>
        <w:t>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>Hospodaření příspěvkových organizací</w:t>
      </w:r>
      <w:r w:rsidR="009B3A35">
        <w:t xml:space="preserve"> zřízených městem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mělo zřízeno v roce 201</w:t>
      </w:r>
      <w:r w:rsidR="00D74986">
        <w:rPr>
          <w:b w:val="0"/>
        </w:rPr>
        <w:t>7</w:t>
      </w:r>
      <w:r>
        <w:rPr>
          <w:b w:val="0"/>
        </w:rPr>
        <w:t xml:space="preserve"> sedm příspěvkových organizací, z toho pět školských a dvě neškolské příspěvkové organizace. Schválení účetních závěrek příspěvkových organizací k rozvahovému dni 31. 12. 201</w:t>
      </w:r>
      <w:r w:rsidR="00D74986">
        <w:rPr>
          <w:b w:val="0"/>
        </w:rPr>
        <w:t>7</w:t>
      </w:r>
      <w:r>
        <w:rPr>
          <w:b w:val="0"/>
        </w:rPr>
        <w:t>, schválení výsledku hospodaření těchto příspěvkových organizací za rok 201</w:t>
      </w:r>
      <w:r w:rsidR="00D74986">
        <w:rPr>
          <w:b w:val="0"/>
        </w:rPr>
        <w:t>7</w:t>
      </w:r>
      <w:r>
        <w:rPr>
          <w:b w:val="0"/>
        </w:rPr>
        <w:t xml:space="preserve"> a schválení rozdělení výsledku hospodaření do fondů příspěvkových organizací schválila rada města Slavkov u Brna dne 3. 4.201</w:t>
      </w:r>
      <w:r w:rsidR="00F86BAC">
        <w:rPr>
          <w:b w:val="0"/>
        </w:rPr>
        <w:t>8</w:t>
      </w:r>
      <w:r>
        <w:rPr>
          <w:b w:val="0"/>
        </w:rPr>
        <w:t xml:space="preserve"> na své </w:t>
      </w:r>
      <w:r w:rsidR="00F86BAC">
        <w:rPr>
          <w:b w:val="0"/>
        </w:rPr>
        <w:t>123</w:t>
      </w:r>
      <w:r>
        <w:rPr>
          <w:b w:val="0"/>
        </w:rPr>
        <w:t xml:space="preserve">. schůzi.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Podrobněji viz příloha č. 1 – Závěrečný účet</w:t>
      </w:r>
      <w:r w:rsidR="00F86BAC">
        <w:rPr>
          <w:b w:val="0"/>
        </w:rPr>
        <w:t xml:space="preserve"> 2017</w:t>
      </w:r>
      <w:r>
        <w:rPr>
          <w:b w:val="0"/>
        </w:rPr>
        <w:t xml:space="preserve">, příloha č. 3 – </w:t>
      </w:r>
      <w:r w:rsidR="00F86BAC" w:rsidRPr="004C1120">
        <w:rPr>
          <w:b w:val="0"/>
        </w:rPr>
        <w:t xml:space="preserve">Plnění hospodaření </w:t>
      </w:r>
      <w:r w:rsidRPr="004C1120">
        <w:rPr>
          <w:b w:val="0"/>
        </w:rPr>
        <w:t>PO</w:t>
      </w:r>
      <w:r>
        <w:rPr>
          <w:b w:val="0"/>
        </w:rPr>
        <w:t xml:space="preserve"> </w:t>
      </w:r>
      <w:r w:rsidR="004C1120">
        <w:rPr>
          <w:b w:val="0"/>
        </w:rPr>
        <w:t>2017.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 xml:space="preserve">Zpráva o výsledku přezkoumání hospodaření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Přezkoumání hospodaření provedla auditorská společnost AUDIT KOREKT s.r.o., číslo oprávnění Komory auditorů ČR 258, IČ 25131265, zapsaná v obchodním rejstříku Městský soud Praha, oddíl C, vložka 52299, a to na základě smlouvy ze dne 19. 5.2011.</w:t>
      </w:r>
    </w:p>
    <w:p w:rsidR="005022AE" w:rsidRDefault="005022AE" w:rsidP="005022AE">
      <w:pPr>
        <w:spacing w:line="240" w:lineRule="auto"/>
      </w:pPr>
    </w:p>
    <w:p w:rsidR="00BD770A" w:rsidRDefault="00BD770A" w:rsidP="005022AE">
      <w:pPr>
        <w:spacing w:line="240" w:lineRule="auto"/>
      </w:pPr>
    </w:p>
    <w:p w:rsidR="005022AE" w:rsidRDefault="005022AE" w:rsidP="005022AE">
      <w:pPr>
        <w:spacing w:line="240" w:lineRule="auto"/>
      </w:pPr>
      <w:r>
        <w:lastRenderedPageBreak/>
        <w:t>Závěr zprávy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„Při přezkoumání hospodaření územního samosprávného celku Slavkov u Brna za rok 201</w:t>
      </w:r>
      <w:r w:rsidR="009212F1">
        <w:rPr>
          <w:b w:val="0"/>
        </w:rPr>
        <w:t>7</w:t>
      </w:r>
      <w:r>
        <w:rPr>
          <w:b w:val="0"/>
        </w:rPr>
        <w:t xml:space="preserve"> </w:t>
      </w:r>
      <w:r w:rsidR="009212F1">
        <w:rPr>
          <w:b w:val="0"/>
        </w:rPr>
        <w:t>ne</w:t>
      </w:r>
      <w:r>
        <w:rPr>
          <w:b w:val="0"/>
        </w:rPr>
        <w:t xml:space="preserve">byly zjištěny chyby a nedostatky, </w:t>
      </w:r>
      <w:r w:rsidR="009212F1">
        <w:rPr>
          <w:b w:val="0"/>
        </w:rPr>
        <w:t>závěr § 10 odst. 3 písm. a)</w:t>
      </w:r>
    </w:p>
    <w:p w:rsidR="005022AE" w:rsidRDefault="005022AE" w:rsidP="005022AE">
      <w:pPr>
        <w:spacing w:line="240" w:lineRule="auto"/>
        <w:rPr>
          <w:b w:val="0"/>
        </w:rPr>
      </w:pPr>
    </w:p>
    <w:p w:rsidR="009212F1" w:rsidRDefault="009212F1" w:rsidP="005022AE">
      <w:pPr>
        <w:spacing w:line="240" w:lineRule="auto"/>
        <w:rPr>
          <w:b w:val="0"/>
        </w:rPr>
      </w:pPr>
      <w:r>
        <w:rPr>
          <w:b w:val="0"/>
        </w:rPr>
        <w:t>Nedostatky zjištěné dle dílčího přezkoumání v průběhu roku 2017 byly územním celkem k 31. 12. 2017 odstraněny.</w:t>
      </w:r>
    </w:p>
    <w:p w:rsidR="009212F1" w:rsidRDefault="009212F1" w:rsidP="005022AE">
      <w:pPr>
        <w:spacing w:line="240" w:lineRule="auto"/>
        <w:rPr>
          <w:b w:val="0"/>
        </w:rPr>
      </w:pPr>
    </w:p>
    <w:p w:rsidR="009212F1" w:rsidRDefault="009212F1" w:rsidP="005022AE">
      <w:pPr>
        <w:spacing w:line="240" w:lineRule="auto"/>
        <w:rPr>
          <w:b w:val="0"/>
        </w:rPr>
      </w:pPr>
      <w:r>
        <w:rPr>
          <w:b w:val="0"/>
        </w:rPr>
        <w:t xml:space="preserve">Dluh územního celku Města Slavkov u Brna nepřekročil 60 % průměru jeho příjmů za poslední 4 </w:t>
      </w:r>
      <w:r w:rsidR="001F0307">
        <w:rPr>
          <w:b w:val="0"/>
        </w:rPr>
        <w:t xml:space="preserve">rozpočtové </w:t>
      </w:r>
      <w:r>
        <w:rPr>
          <w:b w:val="0"/>
        </w:rPr>
        <w:t>roky.“</w:t>
      </w:r>
    </w:p>
    <w:p w:rsidR="009212F1" w:rsidRDefault="009212F1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 xml:space="preserve">Plné znění Zprávy o </w:t>
      </w:r>
      <w:r w:rsidR="0052483C">
        <w:rPr>
          <w:b w:val="0"/>
        </w:rPr>
        <w:t xml:space="preserve">výsledku </w:t>
      </w:r>
      <w:r>
        <w:rPr>
          <w:b w:val="0"/>
        </w:rPr>
        <w:t>přezkoumání hospodaření města Slavkov u Brna za období od 1. 1. 201</w:t>
      </w:r>
      <w:r w:rsidR="009212F1">
        <w:rPr>
          <w:b w:val="0"/>
        </w:rPr>
        <w:t>7</w:t>
      </w:r>
      <w:r>
        <w:rPr>
          <w:b w:val="0"/>
        </w:rPr>
        <w:t xml:space="preserve"> do 31. 12. 201</w:t>
      </w:r>
      <w:r w:rsidR="009212F1">
        <w:rPr>
          <w:b w:val="0"/>
        </w:rPr>
        <w:t>7</w:t>
      </w:r>
      <w:r>
        <w:rPr>
          <w:b w:val="0"/>
        </w:rPr>
        <w:t xml:space="preserve"> je přílohou č. 2 tohoto závěrečného účtu.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76" w:lineRule="auto"/>
      </w:pPr>
    </w:p>
    <w:sectPr w:rsidR="005022AE" w:rsidSect="00361111">
      <w:footerReference w:type="default" r:id="rId5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A6" w:rsidRDefault="000D7BA6" w:rsidP="009212F1">
      <w:pPr>
        <w:spacing w:line="240" w:lineRule="auto"/>
      </w:pPr>
      <w:r>
        <w:separator/>
      </w:r>
    </w:p>
  </w:endnote>
  <w:endnote w:type="continuationSeparator" w:id="0">
    <w:p w:rsidR="000D7BA6" w:rsidRDefault="000D7BA6" w:rsidP="00921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6270"/>
      <w:docPartObj>
        <w:docPartGallery w:val="Page Numbers (Bottom of Page)"/>
        <w:docPartUnique/>
      </w:docPartObj>
    </w:sdtPr>
    <w:sdtEndPr/>
    <w:sdtContent>
      <w:p w:rsidR="00D0503C" w:rsidRDefault="00D050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232">
          <w:rPr>
            <w:noProof/>
          </w:rPr>
          <w:t>29</w:t>
        </w:r>
        <w:r>
          <w:fldChar w:fldCharType="end"/>
        </w:r>
      </w:p>
    </w:sdtContent>
  </w:sdt>
  <w:p w:rsidR="00753DC7" w:rsidRDefault="00753D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A6" w:rsidRDefault="000D7BA6" w:rsidP="009212F1">
      <w:pPr>
        <w:spacing w:line="240" w:lineRule="auto"/>
      </w:pPr>
      <w:r>
        <w:separator/>
      </w:r>
    </w:p>
  </w:footnote>
  <w:footnote w:type="continuationSeparator" w:id="0">
    <w:p w:rsidR="000D7BA6" w:rsidRDefault="000D7BA6" w:rsidP="009212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2B"/>
    <w:multiLevelType w:val="multilevel"/>
    <w:tmpl w:val="1A269B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BAF6811"/>
    <w:multiLevelType w:val="hybridMultilevel"/>
    <w:tmpl w:val="34BC75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284"/>
    <w:multiLevelType w:val="hybridMultilevel"/>
    <w:tmpl w:val="09D8105A"/>
    <w:lvl w:ilvl="0" w:tplc="FB98C1D2">
      <w:start w:val="1"/>
      <w:numFmt w:val="decimal"/>
      <w:pStyle w:val="Nadpis5"/>
      <w:lvlText w:val="Tabulka č. %1: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A9A"/>
    <w:multiLevelType w:val="hybridMultilevel"/>
    <w:tmpl w:val="B392855C"/>
    <w:lvl w:ilvl="0" w:tplc="9494865C">
      <w:start w:val="1"/>
      <w:numFmt w:val="decimal"/>
      <w:pStyle w:val="graf"/>
      <w:lvlText w:val="Graf č. %1: 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12261"/>
    <w:multiLevelType w:val="hybridMultilevel"/>
    <w:tmpl w:val="02BC223A"/>
    <w:lvl w:ilvl="0" w:tplc="6F661D5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B26144"/>
    <w:multiLevelType w:val="hybridMultilevel"/>
    <w:tmpl w:val="BCE8A23C"/>
    <w:lvl w:ilvl="0" w:tplc="804C7AFC">
      <w:start w:val="1"/>
      <w:numFmt w:val="upperRoman"/>
      <w:lvlText w:val="%1."/>
      <w:lvlJc w:val="left"/>
      <w:pPr>
        <w:ind w:left="862" w:hanging="72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7E43F4"/>
    <w:multiLevelType w:val="hybridMultilevel"/>
    <w:tmpl w:val="73AE534E"/>
    <w:lvl w:ilvl="0" w:tplc="9716A94C">
      <w:start w:val="1"/>
      <w:numFmt w:val="decimal"/>
      <w:pStyle w:val="tabulka"/>
      <w:lvlText w:val="Tabulka č. %1: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B3AD2"/>
    <w:multiLevelType w:val="hybridMultilevel"/>
    <w:tmpl w:val="B2B8C238"/>
    <w:lvl w:ilvl="0" w:tplc="D032A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20940"/>
    <w:multiLevelType w:val="hybridMultilevel"/>
    <w:tmpl w:val="17E64A5E"/>
    <w:lvl w:ilvl="0" w:tplc="2CF05C9A">
      <w:start w:val="1"/>
      <w:numFmt w:val="bullet"/>
      <w:pStyle w:val="Odstavecseseznamem"/>
      <w:lvlText w:val="■"/>
      <w:lvlJc w:val="left"/>
      <w:pPr>
        <w:ind w:left="502" w:hanging="360"/>
      </w:pPr>
      <w:rPr>
        <w:rFonts w:ascii="Arial" w:hAnsi="Arial" w:hint="default"/>
        <w:color w:val="9E292B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11"/>
    <w:rsid w:val="00040943"/>
    <w:rsid w:val="00044F54"/>
    <w:rsid w:val="00061757"/>
    <w:rsid w:val="000677C6"/>
    <w:rsid w:val="00083750"/>
    <w:rsid w:val="000911B1"/>
    <w:rsid w:val="00095661"/>
    <w:rsid w:val="00096245"/>
    <w:rsid w:val="000A1C1B"/>
    <w:rsid w:val="000C56C5"/>
    <w:rsid w:val="000D4241"/>
    <w:rsid w:val="000D6223"/>
    <w:rsid w:val="000D7BA6"/>
    <w:rsid w:val="00104FDD"/>
    <w:rsid w:val="001105F0"/>
    <w:rsid w:val="00110EBC"/>
    <w:rsid w:val="00111F83"/>
    <w:rsid w:val="0011786A"/>
    <w:rsid w:val="00126432"/>
    <w:rsid w:val="00131099"/>
    <w:rsid w:val="0013605D"/>
    <w:rsid w:val="00136A68"/>
    <w:rsid w:val="00152ADB"/>
    <w:rsid w:val="00180C9A"/>
    <w:rsid w:val="001B6077"/>
    <w:rsid w:val="001D0163"/>
    <w:rsid w:val="001D19A5"/>
    <w:rsid w:val="001E0ECD"/>
    <w:rsid w:val="001F0307"/>
    <w:rsid w:val="00200CDB"/>
    <w:rsid w:val="002056B8"/>
    <w:rsid w:val="00210A9F"/>
    <w:rsid w:val="002261F3"/>
    <w:rsid w:val="00226255"/>
    <w:rsid w:val="00276E81"/>
    <w:rsid w:val="002A70B6"/>
    <w:rsid w:val="002C1412"/>
    <w:rsid w:val="002C4232"/>
    <w:rsid w:val="00317DCA"/>
    <w:rsid w:val="00321299"/>
    <w:rsid w:val="00334A04"/>
    <w:rsid w:val="00352059"/>
    <w:rsid w:val="00361111"/>
    <w:rsid w:val="00362DE4"/>
    <w:rsid w:val="00396874"/>
    <w:rsid w:val="003B515E"/>
    <w:rsid w:val="003B61CB"/>
    <w:rsid w:val="003C1FFC"/>
    <w:rsid w:val="003F6BE7"/>
    <w:rsid w:val="00413699"/>
    <w:rsid w:val="004220B1"/>
    <w:rsid w:val="00437F4E"/>
    <w:rsid w:val="00472436"/>
    <w:rsid w:val="00481D99"/>
    <w:rsid w:val="004A59F3"/>
    <w:rsid w:val="004B079C"/>
    <w:rsid w:val="004C1120"/>
    <w:rsid w:val="004E758A"/>
    <w:rsid w:val="004F3C20"/>
    <w:rsid w:val="004F4A5F"/>
    <w:rsid w:val="00500E53"/>
    <w:rsid w:val="005022AE"/>
    <w:rsid w:val="00510E19"/>
    <w:rsid w:val="005152F2"/>
    <w:rsid w:val="00521036"/>
    <w:rsid w:val="00522485"/>
    <w:rsid w:val="0052403B"/>
    <w:rsid w:val="00524584"/>
    <w:rsid w:val="0052483C"/>
    <w:rsid w:val="005305C6"/>
    <w:rsid w:val="00532F7F"/>
    <w:rsid w:val="00550B0D"/>
    <w:rsid w:val="00566779"/>
    <w:rsid w:val="0057212C"/>
    <w:rsid w:val="00575207"/>
    <w:rsid w:val="005B3F33"/>
    <w:rsid w:val="005B6C73"/>
    <w:rsid w:val="005D1B90"/>
    <w:rsid w:val="005E097E"/>
    <w:rsid w:val="005E6898"/>
    <w:rsid w:val="005F4D54"/>
    <w:rsid w:val="006078B4"/>
    <w:rsid w:val="00610246"/>
    <w:rsid w:val="006124D1"/>
    <w:rsid w:val="0062726E"/>
    <w:rsid w:val="00631AAF"/>
    <w:rsid w:val="00632119"/>
    <w:rsid w:val="00636EF8"/>
    <w:rsid w:val="006636CD"/>
    <w:rsid w:val="00667121"/>
    <w:rsid w:val="006A3336"/>
    <w:rsid w:val="006D068C"/>
    <w:rsid w:val="006D7A12"/>
    <w:rsid w:val="00753459"/>
    <w:rsid w:val="00753DC7"/>
    <w:rsid w:val="00783843"/>
    <w:rsid w:val="00792F16"/>
    <w:rsid w:val="00797C26"/>
    <w:rsid w:val="007A6A11"/>
    <w:rsid w:val="007B5D4F"/>
    <w:rsid w:val="007C4E99"/>
    <w:rsid w:val="007D37D9"/>
    <w:rsid w:val="00800B9D"/>
    <w:rsid w:val="008123F5"/>
    <w:rsid w:val="008207EC"/>
    <w:rsid w:val="00821AE9"/>
    <w:rsid w:val="008243CB"/>
    <w:rsid w:val="00832D8A"/>
    <w:rsid w:val="008352DE"/>
    <w:rsid w:val="00890B54"/>
    <w:rsid w:val="00890B63"/>
    <w:rsid w:val="008E097B"/>
    <w:rsid w:val="009028AF"/>
    <w:rsid w:val="00912F21"/>
    <w:rsid w:val="00913C98"/>
    <w:rsid w:val="009212F1"/>
    <w:rsid w:val="00927A03"/>
    <w:rsid w:val="009329EF"/>
    <w:rsid w:val="009840F4"/>
    <w:rsid w:val="00994B6A"/>
    <w:rsid w:val="00997BE3"/>
    <w:rsid w:val="009A244B"/>
    <w:rsid w:val="009B3A35"/>
    <w:rsid w:val="009B4A0A"/>
    <w:rsid w:val="009D0064"/>
    <w:rsid w:val="009D377C"/>
    <w:rsid w:val="00A0741E"/>
    <w:rsid w:val="00A1761F"/>
    <w:rsid w:val="00A36242"/>
    <w:rsid w:val="00A42596"/>
    <w:rsid w:val="00A658E0"/>
    <w:rsid w:val="00A72A79"/>
    <w:rsid w:val="00A82700"/>
    <w:rsid w:val="00A9614D"/>
    <w:rsid w:val="00AD28ED"/>
    <w:rsid w:val="00AE3FE5"/>
    <w:rsid w:val="00AF4427"/>
    <w:rsid w:val="00B274A5"/>
    <w:rsid w:val="00B36D4B"/>
    <w:rsid w:val="00B408C5"/>
    <w:rsid w:val="00B73BB5"/>
    <w:rsid w:val="00B9310C"/>
    <w:rsid w:val="00BA55B5"/>
    <w:rsid w:val="00BB6C21"/>
    <w:rsid w:val="00BD2AEF"/>
    <w:rsid w:val="00BD770A"/>
    <w:rsid w:val="00BE7D88"/>
    <w:rsid w:val="00C13E66"/>
    <w:rsid w:val="00C21DAA"/>
    <w:rsid w:val="00C4145E"/>
    <w:rsid w:val="00C71926"/>
    <w:rsid w:val="00C73A5D"/>
    <w:rsid w:val="00C76165"/>
    <w:rsid w:val="00C935F7"/>
    <w:rsid w:val="00C938DC"/>
    <w:rsid w:val="00CA3072"/>
    <w:rsid w:val="00CA5FF4"/>
    <w:rsid w:val="00CA6E1D"/>
    <w:rsid w:val="00CB6B34"/>
    <w:rsid w:val="00CC2695"/>
    <w:rsid w:val="00CC3F7B"/>
    <w:rsid w:val="00CD43D3"/>
    <w:rsid w:val="00CD746E"/>
    <w:rsid w:val="00CE7C5C"/>
    <w:rsid w:val="00CF59C2"/>
    <w:rsid w:val="00D013B2"/>
    <w:rsid w:val="00D0503C"/>
    <w:rsid w:val="00D075C8"/>
    <w:rsid w:val="00D21FB2"/>
    <w:rsid w:val="00D23E6B"/>
    <w:rsid w:val="00D358FA"/>
    <w:rsid w:val="00D64A8D"/>
    <w:rsid w:val="00D705CB"/>
    <w:rsid w:val="00D71912"/>
    <w:rsid w:val="00D74986"/>
    <w:rsid w:val="00D84948"/>
    <w:rsid w:val="00D87123"/>
    <w:rsid w:val="00D94490"/>
    <w:rsid w:val="00DC15D6"/>
    <w:rsid w:val="00DF4855"/>
    <w:rsid w:val="00E074CB"/>
    <w:rsid w:val="00E16015"/>
    <w:rsid w:val="00E52FD3"/>
    <w:rsid w:val="00E561F3"/>
    <w:rsid w:val="00E71BF1"/>
    <w:rsid w:val="00E9097F"/>
    <w:rsid w:val="00E91E81"/>
    <w:rsid w:val="00EA146E"/>
    <w:rsid w:val="00ED3A93"/>
    <w:rsid w:val="00EF3FF3"/>
    <w:rsid w:val="00F10874"/>
    <w:rsid w:val="00F27093"/>
    <w:rsid w:val="00F35444"/>
    <w:rsid w:val="00F555CA"/>
    <w:rsid w:val="00F62F3F"/>
    <w:rsid w:val="00F653F0"/>
    <w:rsid w:val="00F6597C"/>
    <w:rsid w:val="00F73905"/>
    <w:rsid w:val="00F73B0C"/>
    <w:rsid w:val="00F74595"/>
    <w:rsid w:val="00F86BAC"/>
    <w:rsid w:val="00FA2253"/>
    <w:rsid w:val="00FB3D8D"/>
    <w:rsid w:val="00FB4F85"/>
    <w:rsid w:val="00FC09E5"/>
    <w:rsid w:val="00FC3F2C"/>
    <w:rsid w:val="00FC538A"/>
    <w:rsid w:val="00FC6EF9"/>
    <w:rsid w:val="00FE28F3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0A"/>
    <w:pPr>
      <w:spacing w:line="264" w:lineRule="auto"/>
      <w:jc w:val="both"/>
    </w:pPr>
    <w:rPr>
      <w:rFonts w:ascii="Cambria" w:hAnsi="Cambria"/>
      <w:b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A0A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eastAsiaTheme="majorEastAsia" w:cs="Arial"/>
      <w:bCs/>
      <w:kern w:val="32"/>
      <w:sz w:val="36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A0A"/>
    <w:pPr>
      <w:keepNext/>
      <w:numPr>
        <w:ilvl w:val="1"/>
        <w:numId w:val="4"/>
      </w:numPr>
      <w:pBdr>
        <w:bottom w:val="single" w:sz="4" w:space="1" w:color="auto"/>
      </w:pBdr>
      <w:spacing w:before="240" w:after="120" w:line="240" w:lineRule="auto"/>
      <w:jc w:val="left"/>
      <w:outlineLvl w:val="1"/>
    </w:pPr>
    <w:rPr>
      <w:rFonts w:eastAsiaTheme="majorEastAsia" w:cs="Arial"/>
      <w:bCs/>
      <w:iCs/>
      <w: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B4A0A"/>
    <w:pPr>
      <w:keepNext/>
      <w:numPr>
        <w:ilvl w:val="2"/>
        <w:numId w:val="4"/>
      </w:numPr>
      <w:suppressAutoHyphens/>
      <w:spacing w:before="240" w:after="120" w:line="240" w:lineRule="auto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9B4A0A"/>
    <w:pPr>
      <w:numPr>
        <w:ilvl w:val="3"/>
      </w:numPr>
      <w:outlineLvl w:val="3"/>
    </w:pPr>
    <w:rPr>
      <w:bCs w:val="0"/>
      <w:sz w:val="21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9B4A0A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9B4A0A"/>
    <w:pPr>
      <w:keepNext/>
      <w:keepLines/>
      <w:spacing w:before="200"/>
      <w:outlineLvl w:val="6"/>
    </w:pPr>
    <w:rPr>
      <w:rFonts w:eastAsia="Times New Roman"/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9B4A0A"/>
    <w:pPr>
      <w:keepNext/>
      <w:keepLines/>
      <w:spacing w:before="200"/>
      <w:outlineLvl w:val="7"/>
    </w:pPr>
    <w:rPr>
      <w:rFonts w:eastAsia="Times New Roman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9B4A0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B4A0A"/>
    <w:rPr>
      <w:rFonts w:ascii="Cambria" w:eastAsiaTheme="majorEastAsia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9B4A0A"/>
    <w:rPr>
      <w:rFonts w:ascii="Cambria" w:eastAsiaTheme="majorEastAsia" w:hAnsi="Cambria" w:cs="Arial"/>
      <w:bCs/>
      <w:i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9B4A0A"/>
    <w:rPr>
      <w:rFonts w:ascii="Cambria" w:eastAsiaTheme="majorEastAsia" w:hAnsi="Cambria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link w:val="Nadpis4"/>
    <w:uiPriority w:val="99"/>
    <w:rsid w:val="009B4A0A"/>
    <w:rPr>
      <w:rFonts w:ascii="Cambria" w:eastAsiaTheme="majorEastAsia" w:hAnsi="Cambria" w:cs="Arial"/>
      <w:b/>
      <w:sz w:val="21"/>
      <w:szCs w:val="28"/>
      <w:lang w:eastAsia="cs-CZ"/>
    </w:rPr>
  </w:style>
  <w:style w:type="character" w:customStyle="1" w:styleId="Nadpis5Char">
    <w:name w:val="Nadpis 5 Char"/>
    <w:link w:val="Nadpis5"/>
    <w:rsid w:val="009B4A0A"/>
    <w:rPr>
      <w:rFonts w:ascii="Cambria" w:eastAsiaTheme="majorEastAsia" w:hAnsi="Cambria" w:cs="Arial"/>
      <w:sz w:val="21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B4A0A"/>
    <w:rPr>
      <w:rFonts w:ascii="Cambria" w:eastAsia="Times New Roman" w:hAnsi="Cambria" w:cs="Times New Roman"/>
      <w:i/>
      <w:iCs/>
      <w:sz w:val="21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9B4A0A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B4A0A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B4A0A"/>
    <w:pPr>
      <w:tabs>
        <w:tab w:val="left" w:pos="1276"/>
      </w:tabs>
      <w:spacing w:before="240" w:after="200" w:line="240" w:lineRule="auto"/>
    </w:pPr>
    <w:rPr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4A0A"/>
    <w:pPr>
      <w:pBdr>
        <w:bottom w:val="single" w:sz="8" w:space="1" w:color="000000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9B4A0A"/>
    <w:rPr>
      <w:rFonts w:ascii="Cambria" w:eastAsia="MS Gothic" w:hAnsi="Cambria" w:cs="Times New Roman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B4A0A"/>
    <w:pPr>
      <w:numPr>
        <w:numId w:val="6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4A0A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eastAsia="MS Gothic" w:cs="Times New Roman"/>
      <w:kern w:val="0"/>
      <w:szCs w:val="28"/>
      <w:lang w:val="cs-CZ"/>
    </w:rPr>
  </w:style>
  <w:style w:type="paragraph" w:customStyle="1" w:styleId="tabulka">
    <w:name w:val="tabulka"/>
    <w:basedOn w:val="Normln"/>
    <w:qFormat/>
    <w:rsid w:val="009B4A0A"/>
    <w:pPr>
      <w:numPr>
        <w:numId w:val="7"/>
      </w:numPr>
      <w:tabs>
        <w:tab w:val="left" w:pos="1418"/>
      </w:tabs>
      <w:spacing w:before="240" w:after="200" w:line="240" w:lineRule="auto"/>
    </w:pPr>
  </w:style>
  <w:style w:type="paragraph" w:customStyle="1" w:styleId="graf">
    <w:name w:val="graf"/>
    <w:basedOn w:val="Normln"/>
    <w:qFormat/>
    <w:rsid w:val="009B4A0A"/>
    <w:pPr>
      <w:numPr>
        <w:numId w:val="8"/>
      </w:numPr>
      <w:tabs>
        <w:tab w:val="left" w:pos="992"/>
      </w:tabs>
      <w:spacing w:before="240" w:after="200" w:line="240" w:lineRule="auto"/>
    </w:pPr>
    <w:rPr>
      <w:rFonts w:eastAsiaTheme="minorHAnsi" w:cstheme="minorBidi"/>
      <w:szCs w:val="22"/>
      <w:lang w:eastAsia="en-US"/>
    </w:rPr>
  </w:style>
  <w:style w:type="paragraph" w:customStyle="1" w:styleId="AQE1">
    <w:name w:val="AQE 1"/>
    <w:basedOn w:val="Nadpis1"/>
    <w:link w:val="AQE1Char"/>
    <w:qFormat/>
    <w:rsid w:val="009B4A0A"/>
    <w:pPr>
      <w:numPr>
        <w:numId w:val="0"/>
      </w:numPr>
    </w:pPr>
    <w:rPr>
      <w:rFonts w:eastAsia="Times New Roman"/>
    </w:rPr>
  </w:style>
  <w:style w:type="character" w:customStyle="1" w:styleId="AQE1Char">
    <w:name w:val="AQE 1 Char"/>
    <w:link w:val="AQE1"/>
    <w:rsid w:val="009B4A0A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paragraph" w:customStyle="1" w:styleId="AQE11">
    <w:name w:val="AQE 1.1"/>
    <w:basedOn w:val="Nadpis2"/>
    <w:link w:val="AQE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Char">
    <w:name w:val="AQE 1.1 Char"/>
    <w:link w:val="AQE11"/>
    <w:rsid w:val="009B4A0A"/>
    <w:rPr>
      <w:rFonts w:ascii="Cambria" w:eastAsia="Times New Roman" w:hAnsi="Cambria" w:cs="Arial"/>
      <w:bCs/>
      <w:iCs/>
      <w:caps/>
      <w:sz w:val="28"/>
      <w:szCs w:val="28"/>
      <w:lang w:eastAsia="cs-CZ"/>
    </w:rPr>
  </w:style>
  <w:style w:type="paragraph" w:customStyle="1" w:styleId="AQE111">
    <w:name w:val="AQE 1.1.1"/>
    <w:basedOn w:val="Nadpis3"/>
    <w:link w:val="AQE1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1Char">
    <w:name w:val="AQE 1.1.1 Char"/>
    <w:link w:val="AQE111"/>
    <w:rsid w:val="009B4A0A"/>
    <w:rPr>
      <w:rFonts w:ascii="Cambria" w:eastAsia="Times New Roman" w:hAnsi="Cambria" w:cs="Arial"/>
      <w:b/>
      <w:bCs/>
      <w:sz w:val="24"/>
      <w:szCs w:val="26"/>
      <w:lang w:val="cs-CZ" w:eastAsia="cs-CZ"/>
    </w:rPr>
  </w:style>
  <w:style w:type="paragraph" w:customStyle="1" w:styleId="AQE1111">
    <w:name w:val="AQE 1.1.1.1"/>
    <w:basedOn w:val="Nadpis4"/>
    <w:link w:val="AQE1111Char"/>
    <w:qFormat/>
    <w:rsid w:val="009B4A0A"/>
    <w:pPr>
      <w:numPr>
        <w:ilvl w:val="0"/>
        <w:numId w:val="0"/>
      </w:numPr>
    </w:pPr>
    <w:rPr>
      <w:rFonts w:eastAsia="Times New Roman"/>
      <w:lang w:val="cs-CZ"/>
    </w:rPr>
  </w:style>
  <w:style w:type="character" w:customStyle="1" w:styleId="AQE1111Char">
    <w:name w:val="AQE 1.1.1.1 Char"/>
    <w:link w:val="AQE1111"/>
    <w:rsid w:val="009B4A0A"/>
    <w:rPr>
      <w:rFonts w:ascii="Cambria" w:eastAsia="Times New Roman" w:hAnsi="Cambria" w:cs="Arial"/>
      <w:b/>
      <w:sz w:val="21"/>
      <w:szCs w:val="28"/>
      <w:lang w:val="cs-CZ" w:eastAsia="cs-CZ"/>
    </w:rPr>
  </w:style>
  <w:style w:type="paragraph" w:customStyle="1" w:styleId="AQEA">
    <w:name w:val="AQE A"/>
    <w:basedOn w:val="Normln"/>
    <w:autoRedefine/>
    <w:qFormat/>
    <w:rsid w:val="009B4A0A"/>
    <w:pPr>
      <w:shd w:val="clear" w:color="auto" w:fill="A43D3A"/>
      <w:spacing w:line="276" w:lineRule="auto"/>
      <w:jc w:val="left"/>
    </w:pPr>
    <w:rPr>
      <w:rFonts w:ascii="Calibri" w:eastAsia="Times New Roman" w:hAnsi="Calibri"/>
      <w:color w:val="FFFFFF"/>
      <w:sz w:val="28"/>
      <w:szCs w:val="28"/>
    </w:rPr>
  </w:style>
  <w:style w:type="paragraph" w:customStyle="1" w:styleId="AQE3">
    <w:name w:val="AQE3"/>
    <w:basedOn w:val="Normln"/>
    <w:link w:val="AQE3Char"/>
    <w:qFormat/>
    <w:rsid w:val="009B4A0A"/>
    <w:pPr>
      <w:autoSpaceDE w:val="0"/>
      <w:autoSpaceDN w:val="0"/>
      <w:adjustRightInd w:val="0"/>
    </w:pPr>
  </w:style>
  <w:style w:type="character" w:customStyle="1" w:styleId="AQE3Char">
    <w:name w:val="AQE3 Char"/>
    <w:basedOn w:val="Standardnpsmoodstavce"/>
    <w:link w:val="AQE3"/>
    <w:rsid w:val="009B4A0A"/>
    <w:rPr>
      <w:rFonts w:ascii="Cambria" w:hAnsi="Cambria"/>
      <w:b/>
      <w:sz w:val="21"/>
      <w:szCs w:val="24"/>
      <w:lang w:val="cs-CZ" w:eastAsia="cs-CZ"/>
    </w:rPr>
  </w:style>
  <w:style w:type="paragraph" w:customStyle="1" w:styleId="Seznamtabulek">
    <w:name w:val="Seznam tabulek"/>
    <w:basedOn w:val="Seznamobrzk"/>
    <w:qFormat/>
    <w:rsid w:val="009B4A0A"/>
    <w:pPr>
      <w:tabs>
        <w:tab w:val="left" w:pos="1134"/>
        <w:tab w:val="right" w:leader="dot" w:pos="9061"/>
      </w:tabs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B4A0A"/>
  </w:style>
  <w:style w:type="paragraph" w:styleId="Textbubliny">
    <w:name w:val="Balloon Text"/>
    <w:basedOn w:val="Normln"/>
    <w:link w:val="TextbublinyChar"/>
    <w:uiPriority w:val="99"/>
    <w:semiHidden/>
    <w:unhideWhenUsed/>
    <w:rsid w:val="00361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11"/>
    <w:rPr>
      <w:rFonts w:ascii="Tahoma" w:hAnsi="Tahoma" w:cs="Tahoma"/>
      <w:b/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unhideWhenUsed/>
    <w:rsid w:val="005022AE"/>
    <w:pPr>
      <w:suppressAutoHyphens/>
      <w:spacing w:line="240" w:lineRule="auto"/>
    </w:pPr>
    <w:rPr>
      <w:rFonts w:ascii="Times New Roman" w:eastAsia="Times New Roman" w:hAnsi="Times New Roman"/>
      <w:b w:val="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022AE"/>
    <w:rPr>
      <w:rFonts w:ascii="Times New Roman" w:eastAsia="Times New Roman" w:hAnsi="Times New Roman"/>
      <w:sz w:val="24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2F1"/>
    <w:rPr>
      <w:rFonts w:ascii="Cambria" w:hAnsi="Cambria"/>
      <w:b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2F1"/>
    <w:rPr>
      <w:rFonts w:ascii="Cambria" w:hAnsi="Cambria"/>
      <w:b/>
      <w:sz w:val="22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0A"/>
    <w:pPr>
      <w:spacing w:line="264" w:lineRule="auto"/>
      <w:jc w:val="both"/>
    </w:pPr>
    <w:rPr>
      <w:rFonts w:ascii="Cambria" w:hAnsi="Cambria"/>
      <w:b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A0A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eastAsiaTheme="majorEastAsia" w:cs="Arial"/>
      <w:bCs/>
      <w:kern w:val="32"/>
      <w:sz w:val="36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A0A"/>
    <w:pPr>
      <w:keepNext/>
      <w:numPr>
        <w:ilvl w:val="1"/>
        <w:numId w:val="4"/>
      </w:numPr>
      <w:pBdr>
        <w:bottom w:val="single" w:sz="4" w:space="1" w:color="auto"/>
      </w:pBdr>
      <w:spacing w:before="240" w:after="120" w:line="240" w:lineRule="auto"/>
      <w:jc w:val="left"/>
      <w:outlineLvl w:val="1"/>
    </w:pPr>
    <w:rPr>
      <w:rFonts w:eastAsiaTheme="majorEastAsia" w:cs="Arial"/>
      <w:bCs/>
      <w:iCs/>
      <w: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B4A0A"/>
    <w:pPr>
      <w:keepNext/>
      <w:numPr>
        <w:ilvl w:val="2"/>
        <w:numId w:val="4"/>
      </w:numPr>
      <w:suppressAutoHyphens/>
      <w:spacing w:before="240" w:after="120" w:line="240" w:lineRule="auto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9B4A0A"/>
    <w:pPr>
      <w:numPr>
        <w:ilvl w:val="3"/>
      </w:numPr>
      <w:outlineLvl w:val="3"/>
    </w:pPr>
    <w:rPr>
      <w:bCs w:val="0"/>
      <w:sz w:val="21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9B4A0A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9B4A0A"/>
    <w:pPr>
      <w:keepNext/>
      <w:keepLines/>
      <w:spacing w:before="200"/>
      <w:outlineLvl w:val="6"/>
    </w:pPr>
    <w:rPr>
      <w:rFonts w:eastAsia="Times New Roman"/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9B4A0A"/>
    <w:pPr>
      <w:keepNext/>
      <w:keepLines/>
      <w:spacing w:before="200"/>
      <w:outlineLvl w:val="7"/>
    </w:pPr>
    <w:rPr>
      <w:rFonts w:eastAsia="Times New Roman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9B4A0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B4A0A"/>
    <w:rPr>
      <w:rFonts w:ascii="Cambria" w:eastAsiaTheme="majorEastAsia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9B4A0A"/>
    <w:rPr>
      <w:rFonts w:ascii="Cambria" w:eastAsiaTheme="majorEastAsia" w:hAnsi="Cambria" w:cs="Arial"/>
      <w:bCs/>
      <w:i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9B4A0A"/>
    <w:rPr>
      <w:rFonts w:ascii="Cambria" w:eastAsiaTheme="majorEastAsia" w:hAnsi="Cambria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link w:val="Nadpis4"/>
    <w:uiPriority w:val="99"/>
    <w:rsid w:val="009B4A0A"/>
    <w:rPr>
      <w:rFonts w:ascii="Cambria" w:eastAsiaTheme="majorEastAsia" w:hAnsi="Cambria" w:cs="Arial"/>
      <w:b/>
      <w:sz w:val="21"/>
      <w:szCs w:val="28"/>
      <w:lang w:eastAsia="cs-CZ"/>
    </w:rPr>
  </w:style>
  <w:style w:type="character" w:customStyle="1" w:styleId="Nadpis5Char">
    <w:name w:val="Nadpis 5 Char"/>
    <w:link w:val="Nadpis5"/>
    <w:rsid w:val="009B4A0A"/>
    <w:rPr>
      <w:rFonts w:ascii="Cambria" w:eastAsiaTheme="majorEastAsia" w:hAnsi="Cambria" w:cs="Arial"/>
      <w:sz w:val="21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B4A0A"/>
    <w:rPr>
      <w:rFonts w:ascii="Cambria" w:eastAsia="Times New Roman" w:hAnsi="Cambria" w:cs="Times New Roman"/>
      <w:i/>
      <w:iCs/>
      <w:sz w:val="21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9B4A0A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B4A0A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B4A0A"/>
    <w:pPr>
      <w:tabs>
        <w:tab w:val="left" w:pos="1276"/>
      </w:tabs>
      <w:spacing w:before="240" w:after="200" w:line="240" w:lineRule="auto"/>
    </w:pPr>
    <w:rPr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4A0A"/>
    <w:pPr>
      <w:pBdr>
        <w:bottom w:val="single" w:sz="8" w:space="1" w:color="000000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9B4A0A"/>
    <w:rPr>
      <w:rFonts w:ascii="Cambria" w:eastAsia="MS Gothic" w:hAnsi="Cambria" w:cs="Times New Roman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B4A0A"/>
    <w:pPr>
      <w:numPr>
        <w:numId w:val="6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4A0A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eastAsia="MS Gothic" w:cs="Times New Roman"/>
      <w:kern w:val="0"/>
      <w:szCs w:val="28"/>
      <w:lang w:val="cs-CZ"/>
    </w:rPr>
  </w:style>
  <w:style w:type="paragraph" w:customStyle="1" w:styleId="tabulka">
    <w:name w:val="tabulka"/>
    <w:basedOn w:val="Normln"/>
    <w:qFormat/>
    <w:rsid w:val="009B4A0A"/>
    <w:pPr>
      <w:numPr>
        <w:numId w:val="7"/>
      </w:numPr>
      <w:tabs>
        <w:tab w:val="left" w:pos="1418"/>
      </w:tabs>
      <w:spacing w:before="240" w:after="200" w:line="240" w:lineRule="auto"/>
    </w:pPr>
  </w:style>
  <w:style w:type="paragraph" w:customStyle="1" w:styleId="graf">
    <w:name w:val="graf"/>
    <w:basedOn w:val="Normln"/>
    <w:qFormat/>
    <w:rsid w:val="009B4A0A"/>
    <w:pPr>
      <w:numPr>
        <w:numId w:val="8"/>
      </w:numPr>
      <w:tabs>
        <w:tab w:val="left" w:pos="992"/>
      </w:tabs>
      <w:spacing w:before="240" w:after="200" w:line="240" w:lineRule="auto"/>
    </w:pPr>
    <w:rPr>
      <w:rFonts w:eastAsiaTheme="minorHAnsi" w:cstheme="minorBidi"/>
      <w:szCs w:val="22"/>
      <w:lang w:eastAsia="en-US"/>
    </w:rPr>
  </w:style>
  <w:style w:type="paragraph" w:customStyle="1" w:styleId="AQE1">
    <w:name w:val="AQE 1"/>
    <w:basedOn w:val="Nadpis1"/>
    <w:link w:val="AQE1Char"/>
    <w:qFormat/>
    <w:rsid w:val="009B4A0A"/>
    <w:pPr>
      <w:numPr>
        <w:numId w:val="0"/>
      </w:numPr>
    </w:pPr>
    <w:rPr>
      <w:rFonts w:eastAsia="Times New Roman"/>
    </w:rPr>
  </w:style>
  <w:style w:type="character" w:customStyle="1" w:styleId="AQE1Char">
    <w:name w:val="AQE 1 Char"/>
    <w:link w:val="AQE1"/>
    <w:rsid w:val="009B4A0A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paragraph" w:customStyle="1" w:styleId="AQE11">
    <w:name w:val="AQE 1.1"/>
    <w:basedOn w:val="Nadpis2"/>
    <w:link w:val="AQE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Char">
    <w:name w:val="AQE 1.1 Char"/>
    <w:link w:val="AQE11"/>
    <w:rsid w:val="009B4A0A"/>
    <w:rPr>
      <w:rFonts w:ascii="Cambria" w:eastAsia="Times New Roman" w:hAnsi="Cambria" w:cs="Arial"/>
      <w:bCs/>
      <w:iCs/>
      <w:caps/>
      <w:sz w:val="28"/>
      <w:szCs w:val="28"/>
      <w:lang w:eastAsia="cs-CZ"/>
    </w:rPr>
  </w:style>
  <w:style w:type="paragraph" w:customStyle="1" w:styleId="AQE111">
    <w:name w:val="AQE 1.1.1"/>
    <w:basedOn w:val="Nadpis3"/>
    <w:link w:val="AQE1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1Char">
    <w:name w:val="AQE 1.1.1 Char"/>
    <w:link w:val="AQE111"/>
    <w:rsid w:val="009B4A0A"/>
    <w:rPr>
      <w:rFonts w:ascii="Cambria" w:eastAsia="Times New Roman" w:hAnsi="Cambria" w:cs="Arial"/>
      <w:b/>
      <w:bCs/>
      <w:sz w:val="24"/>
      <w:szCs w:val="26"/>
      <w:lang w:val="cs-CZ" w:eastAsia="cs-CZ"/>
    </w:rPr>
  </w:style>
  <w:style w:type="paragraph" w:customStyle="1" w:styleId="AQE1111">
    <w:name w:val="AQE 1.1.1.1"/>
    <w:basedOn w:val="Nadpis4"/>
    <w:link w:val="AQE1111Char"/>
    <w:qFormat/>
    <w:rsid w:val="009B4A0A"/>
    <w:pPr>
      <w:numPr>
        <w:ilvl w:val="0"/>
        <w:numId w:val="0"/>
      </w:numPr>
    </w:pPr>
    <w:rPr>
      <w:rFonts w:eastAsia="Times New Roman"/>
      <w:lang w:val="cs-CZ"/>
    </w:rPr>
  </w:style>
  <w:style w:type="character" w:customStyle="1" w:styleId="AQE1111Char">
    <w:name w:val="AQE 1.1.1.1 Char"/>
    <w:link w:val="AQE1111"/>
    <w:rsid w:val="009B4A0A"/>
    <w:rPr>
      <w:rFonts w:ascii="Cambria" w:eastAsia="Times New Roman" w:hAnsi="Cambria" w:cs="Arial"/>
      <w:b/>
      <w:sz w:val="21"/>
      <w:szCs w:val="28"/>
      <w:lang w:val="cs-CZ" w:eastAsia="cs-CZ"/>
    </w:rPr>
  </w:style>
  <w:style w:type="paragraph" w:customStyle="1" w:styleId="AQEA">
    <w:name w:val="AQE A"/>
    <w:basedOn w:val="Normln"/>
    <w:autoRedefine/>
    <w:qFormat/>
    <w:rsid w:val="009B4A0A"/>
    <w:pPr>
      <w:shd w:val="clear" w:color="auto" w:fill="A43D3A"/>
      <w:spacing w:line="276" w:lineRule="auto"/>
      <w:jc w:val="left"/>
    </w:pPr>
    <w:rPr>
      <w:rFonts w:ascii="Calibri" w:eastAsia="Times New Roman" w:hAnsi="Calibri"/>
      <w:color w:val="FFFFFF"/>
      <w:sz w:val="28"/>
      <w:szCs w:val="28"/>
    </w:rPr>
  </w:style>
  <w:style w:type="paragraph" w:customStyle="1" w:styleId="AQE3">
    <w:name w:val="AQE3"/>
    <w:basedOn w:val="Normln"/>
    <w:link w:val="AQE3Char"/>
    <w:qFormat/>
    <w:rsid w:val="009B4A0A"/>
    <w:pPr>
      <w:autoSpaceDE w:val="0"/>
      <w:autoSpaceDN w:val="0"/>
      <w:adjustRightInd w:val="0"/>
    </w:pPr>
  </w:style>
  <w:style w:type="character" w:customStyle="1" w:styleId="AQE3Char">
    <w:name w:val="AQE3 Char"/>
    <w:basedOn w:val="Standardnpsmoodstavce"/>
    <w:link w:val="AQE3"/>
    <w:rsid w:val="009B4A0A"/>
    <w:rPr>
      <w:rFonts w:ascii="Cambria" w:hAnsi="Cambria"/>
      <w:b/>
      <w:sz w:val="21"/>
      <w:szCs w:val="24"/>
      <w:lang w:val="cs-CZ" w:eastAsia="cs-CZ"/>
    </w:rPr>
  </w:style>
  <w:style w:type="paragraph" w:customStyle="1" w:styleId="Seznamtabulek">
    <w:name w:val="Seznam tabulek"/>
    <w:basedOn w:val="Seznamobrzk"/>
    <w:qFormat/>
    <w:rsid w:val="009B4A0A"/>
    <w:pPr>
      <w:tabs>
        <w:tab w:val="left" w:pos="1134"/>
        <w:tab w:val="right" w:leader="dot" w:pos="9061"/>
      </w:tabs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B4A0A"/>
  </w:style>
  <w:style w:type="paragraph" w:styleId="Textbubliny">
    <w:name w:val="Balloon Text"/>
    <w:basedOn w:val="Normln"/>
    <w:link w:val="TextbublinyChar"/>
    <w:uiPriority w:val="99"/>
    <w:semiHidden/>
    <w:unhideWhenUsed/>
    <w:rsid w:val="00361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11"/>
    <w:rPr>
      <w:rFonts w:ascii="Tahoma" w:hAnsi="Tahoma" w:cs="Tahoma"/>
      <w:b/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unhideWhenUsed/>
    <w:rsid w:val="005022AE"/>
    <w:pPr>
      <w:suppressAutoHyphens/>
      <w:spacing w:line="240" w:lineRule="auto"/>
    </w:pPr>
    <w:rPr>
      <w:rFonts w:ascii="Times New Roman" w:eastAsia="Times New Roman" w:hAnsi="Times New Roman"/>
      <w:b w:val="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022AE"/>
    <w:rPr>
      <w:rFonts w:ascii="Times New Roman" w:eastAsia="Times New Roman" w:hAnsi="Times New Roman"/>
      <w:sz w:val="24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2F1"/>
    <w:rPr>
      <w:rFonts w:ascii="Cambria" w:hAnsi="Cambria"/>
      <w:b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2F1"/>
    <w:rPr>
      <w:rFonts w:ascii="Cambria" w:hAnsi="Cambria"/>
      <w:b/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8" Type="http://schemas.openxmlformats.org/officeDocument/2006/relationships/endnotes" Target="endnotes.xml"/><Relationship Id="rId51" Type="http://schemas.openxmlformats.org/officeDocument/2006/relationships/image" Target="media/image4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C58A-68FA-44A7-93DE-D1E090CE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2502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Kamínek</dc:creator>
  <cp:lastModifiedBy>marie.jedlickova</cp:lastModifiedBy>
  <cp:revision>6</cp:revision>
  <cp:lastPrinted>2018-04-25T11:38:00Z</cp:lastPrinted>
  <dcterms:created xsi:type="dcterms:W3CDTF">2018-04-25T10:34:00Z</dcterms:created>
  <dcterms:modified xsi:type="dcterms:W3CDTF">2018-04-25T13:00:00Z</dcterms:modified>
</cp:coreProperties>
</file>