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0"/>
        <w:gridCol w:w="7082"/>
      </w:tblGrid>
      <w:tr w:rsidR="00BD51BF" w:rsidRPr="00BD51BF" w:rsidTr="00BD51BF">
        <w:trPr>
          <w:tblCellSpacing w:w="15" w:type="dxa"/>
        </w:trPr>
        <w:tc>
          <w:tcPr>
            <w:tcW w:w="0" w:type="auto"/>
            <w:vAlign w:val="center"/>
            <w:hideMark/>
          </w:tcPr>
          <w:p w:rsidR="00BD51BF" w:rsidRPr="00BD51BF" w:rsidRDefault="00BD51BF" w:rsidP="00BD51BF">
            <w:pPr>
              <w:spacing w:after="0" w:line="240" w:lineRule="auto"/>
              <w:jc w:val="center"/>
              <w:rPr>
                <w:rFonts w:ascii="Times New Roman" w:eastAsia="Times New Roman" w:hAnsi="Times New Roman" w:cs="Times New Roman"/>
                <w:spacing w:val="24"/>
                <w:sz w:val="24"/>
                <w:szCs w:val="24"/>
                <w:lang w:eastAsia="cs-CZ"/>
              </w:rPr>
            </w:pPr>
            <w:r>
              <w:rPr>
                <w:rFonts w:ascii="Times New Roman" w:eastAsia="Times New Roman" w:hAnsi="Times New Roman" w:cs="Times New Roman"/>
                <w:noProof/>
                <w:spacing w:val="24"/>
                <w:sz w:val="24"/>
                <w:szCs w:val="24"/>
                <w:lang w:eastAsia="cs-CZ"/>
              </w:rPr>
              <w:drawing>
                <wp:inline distT="0" distB="0" distL="0" distR="0">
                  <wp:extent cx="762000" cy="876300"/>
                  <wp:effectExtent l="0" t="0" r="0" b="0"/>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tc>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007"/>
            </w:tblGrid>
            <w:tr w:rsidR="00BD51BF" w:rsidRPr="00BD51BF">
              <w:trPr>
                <w:tblCellSpacing w:w="15" w:type="dxa"/>
                <w:jc w:val="center"/>
              </w:trPr>
              <w:tc>
                <w:tcPr>
                  <w:tcW w:w="0" w:type="auto"/>
                  <w:vAlign w:val="center"/>
                  <w:hideMark/>
                </w:tcPr>
                <w:p w:rsidR="00BD51BF" w:rsidRPr="00BD51BF" w:rsidRDefault="00BD51BF" w:rsidP="00BD51BF">
                  <w:pPr>
                    <w:spacing w:after="0" w:line="240" w:lineRule="auto"/>
                    <w:jc w:val="center"/>
                    <w:rPr>
                      <w:rFonts w:ascii="Arial" w:eastAsia="Times New Roman" w:hAnsi="Arial" w:cs="Arial"/>
                      <w:b/>
                      <w:bCs/>
                      <w:sz w:val="36"/>
                      <w:szCs w:val="36"/>
                      <w:lang w:eastAsia="cs-CZ"/>
                    </w:rPr>
                  </w:pPr>
                  <w:r w:rsidRPr="00BD51BF">
                    <w:rPr>
                      <w:rFonts w:ascii="Arial" w:eastAsia="Times New Roman" w:hAnsi="Arial" w:cs="Arial"/>
                      <w:b/>
                      <w:bCs/>
                      <w:sz w:val="36"/>
                      <w:szCs w:val="36"/>
                      <w:lang w:eastAsia="cs-CZ"/>
                    </w:rPr>
                    <w:t>Město Slavkov u Brna</w:t>
                  </w:r>
                </w:p>
              </w:tc>
            </w:tr>
            <w:tr w:rsidR="00BD51BF" w:rsidRPr="00BD51BF">
              <w:trPr>
                <w:tblCellSpacing w:w="15" w:type="dxa"/>
                <w:jc w:val="center"/>
              </w:trPr>
              <w:tc>
                <w:tcPr>
                  <w:tcW w:w="0" w:type="auto"/>
                  <w:vAlign w:val="center"/>
                  <w:hideMark/>
                </w:tcPr>
                <w:p w:rsidR="00BD51BF" w:rsidRPr="00BD51BF" w:rsidRDefault="00BD51BF" w:rsidP="00BD51BF">
                  <w:pPr>
                    <w:spacing w:after="0" w:line="240" w:lineRule="auto"/>
                    <w:jc w:val="center"/>
                    <w:rPr>
                      <w:rFonts w:ascii="Arial" w:eastAsia="Times New Roman" w:hAnsi="Arial" w:cs="Arial"/>
                      <w:caps/>
                      <w:spacing w:val="120"/>
                      <w:sz w:val="38"/>
                      <w:szCs w:val="38"/>
                      <w:lang w:eastAsia="cs-CZ"/>
                    </w:rPr>
                  </w:pPr>
                  <w:r w:rsidRPr="00BD51BF">
                    <w:rPr>
                      <w:rFonts w:ascii="Arial" w:eastAsia="Times New Roman" w:hAnsi="Arial" w:cs="Arial"/>
                      <w:caps/>
                      <w:spacing w:val="120"/>
                      <w:sz w:val="38"/>
                      <w:szCs w:val="38"/>
                      <w:lang w:eastAsia="cs-CZ"/>
                    </w:rPr>
                    <w:t>Usnesení</w:t>
                  </w:r>
                </w:p>
              </w:tc>
            </w:tr>
            <w:tr w:rsidR="00BD51BF" w:rsidRPr="00BD51BF">
              <w:trPr>
                <w:tblCellSpacing w:w="15" w:type="dxa"/>
                <w:jc w:val="center"/>
              </w:trPr>
              <w:tc>
                <w:tcPr>
                  <w:tcW w:w="0" w:type="auto"/>
                  <w:vAlign w:val="center"/>
                  <w:hideMark/>
                </w:tcPr>
                <w:p w:rsidR="00BD51BF" w:rsidRPr="00BD51BF" w:rsidRDefault="00BD51BF" w:rsidP="00BD51BF">
                  <w:pPr>
                    <w:spacing w:after="0" w:line="240" w:lineRule="auto"/>
                    <w:jc w:val="center"/>
                    <w:rPr>
                      <w:rFonts w:ascii="Arial" w:eastAsia="Times New Roman" w:hAnsi="Arial" w:cs="Arial"/>
                      <w:sz w:val="29"/>
                      <w:szCs w:val="29"/>
                      <w:lang w:eastAsia="cs-CZ"/>
                    </w:rPr>
                  </w:pPr>
                  <w:r w:rsidRPr="00BD51BF">
                    <w:rPr>
                      <w:rFonts w:ascii="Arial" w:eastAsia="Times New Roman" w:hAnsi="Arial" w:cs="Arial"/>
                      <w:sz w:val="29"/>
                      <w:szCs w:val="29"/>
                      <w:lang w:eastAsia="cs-CZ"/>
                    </w:rPr>
                    <w:t>135. schůze rady města</w:t>
                  </w:r>
                </w:p>
              </w:tc>
            </w:tr>
            <w:tr w:rsidR="00BD51BF" w:rsidRPr="00BD51BF">
              <w:trPr>
                <w:tblCellSpacing w:w="15" w:type="dxa"/>
                <w:jc w:val="center"/>
              </w:trPr>
              <w:tc>
                <w:tcPr>
                  <w:tcW w:w="0" w:type="auto"/>
                  <w:vAlign w:val="center"/>
                  <w:hideMark/>
                </w:tcPr>
                <w:p w:rsidR="00BD51BF" w:rsidRPr="00BD51BF" w:rsidRDefault="00BD51BF" w:rsidP="00BD51BF">
                  <w:pPr>
                    <w:spacing w:after="0" w:line="240" w:lineRule="auto"/>
                    <w:jc w:val="center"/>
                    <w:rPr>
                      <w:rFonts w:ascii="Arial" w:eastAsia="Times New Roman" w:hAnsi="Arial" w:cs="Arial"/>
                      <w:sz w:val="29"/>
                      <w:szCs w:val="29"/>
                      <w:lang w:eastAsia="cs-CZ"/>
                    </w:rPr>
                  </w:pPr>
                  <w:r w:rsidRPr="00BD51BF">
                    <w:rPr>
                      <w:rFonts w:ascii="Arial" w:eastAsia="Times New Roman" w:hAnsi="Arial" w:cs="Arial"/>
                      <w:sz w:val="29"/>
                      <w:szCs w:val="29"/>
                      <w:lang w:eastAsia="cs-CZ"/>
                    </w:rPr>
                    <w:t>konané dne 25.</w:t>
                  </w:r>
                  <w:r>
                    <w:rPr>
                      <w:rFonts w:ascii="Arial" w:eastAsia="Times New Roman" w:hAnsi="Arial" w:cs="Arial"/>
                      <w:sz w:val="29"/>
                      <w:szCs w:val="29"/>
                      <w:lang w:eastAsia="cs-CZ"/>
                    </w:rPr>
                    <w:t xml:space="preserve"> </w:t>
                  </w:r>
                  <w:r w:rsidRPr="00BD51BF">
                    <w:rPr>
                      <w:rFonts w:ascii="Arial" w:eastAsia="Times New Roman" w:hAnsi="Arial" w:cs="Arial"/>
                      <w:sz w:val="29"/>
                      <w:szCs w:val="29"/>
                      <w:lang w:eastAsia="cs-CZ"/>
                    </w:rPr>
                    <w:t>6.</w:t>
                  </w:r>
                  <w:r>
                    <w:rPr>
                      <w:rFonts w:ascii="Arial" w:eastAsia="Times New Roman" w:hAnsi="Arial" w:cs="Arial"/>
                      <w:sz w:val="29"/>
                      <w:szCs w:val="29"/>
                      <w:lang w:eastAsia="cs-CZ"/>
                    </w:rPr>
                    <w:t xml:space="preserve"> </w:t>
                  </w:r>
                  <w:r w:rsidRPr="00BD51BF">
                    <w:rPr>
                      <w:rFonts w:ascii="Arial" w:eastAsia="Times New Roman" w:hAnsi="Arial" w:cs="Arial"/>
                      <w:sz w:val="29"/>
                      <w:szCs w:val="29"/>
                      <w:lang w:eastAsia="cs-CZ"/>
                    </w:rPr>
                    <w:t>2018</w:t>
                  </w:r>
                </w:p>
              </w:tc>
            </w:tr>
            <w:tr w:rsidR="00BD51BF" w:rsidRPr="00BD51BF">
              <w:trPr>
                <w:tblCellSpacing w:w="15" w:type="dxa"/>
                <w:jc w:val="center"/>
              </w:trPr>
              <w:tc>
                <w:tcPr>
                  <w:tcW w:w="0" w:type="auto"/>
                  <w:vAlign w:val="center"/>
                  <w:hideMark/>
                </w:tcPr>
                <w:p w:rsidR="00BD51BF" w:rsidRPr="00BD51BF" w:rsidRDefault="00BD51BF" w:rsidP="00BD51BF">
                  <w:pPr>
                    <w:spacing w:after="0" w:line="240" w:lineRule="auto"/>
                    <w:jc w:val="center"/>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číslo usnesení 2740/135/RM/2018/Veřejný</w:t>
                  </w:r>
                </w:p>
              </w:tc>
            </w:tr>
          </w:tbl>
          <w:p w:rsidR="00BD51BF" w:rsidRPr="00BD51BF" w:rsidRDefault="00BD51BF" w:rsidP="00BD51BF">
            <w:pPr>
              <w:spacing w:after="0" w:line="240" w:lineRule="auto"/>
              <w:jc w:val="center"/>
              <w:rPr>
                <w:rFonts w:ascii="Times New Roman" w:eastAsia="Times New Roman" w:hAnsi="Times New Roman" w:cs="Times New Roman"/>
                <w:spacing w:val="24"/>
                <w:sz w:val="24"/>
                <w:szCs w:val="24"/>
                <w:lang w:eastAsia="cs-CZ"/>
              </w:rPr>
            </w:pPr>
          </w:p>
        </w:tc>
      </w:tr>
      <w:tr w:rsidR="00BD51BF" w:rsidRPr="00BD51BF" w:rsidTr="00BD51BF">
        <w:trPr>
          <w:tblCellSpacing w:w="15" w:type="dxa"/>
        </w:trPr>
        <w:tc>
          <w:tcPr>
            <w:tcW w:w="0" w:type="auto"/>
            <w:gridSpan w:val="2"/>
            <w:vAlign w:val="center"/>
            <w:hideMark/>
          </w:tcPr>
          <w:p w:rsidR="00BD51BF" w:rsidRPr="00BD51BF" w:rsidRDefault="00BD51BF" w:rsidP="00BD51BF">
            <w:pPr>
              <w:spacing w:after="0" w:line="240" w:lineRule="auto"/>
              <w:jc w:val="center"/>
              <w:rPr>
                <w:rFonts w:ascii="Times New Roman" w:eastAsia="Times New Roman" w:hAnsi="Times New Roman" w:cs="Times New Roman"/>
                <w:spacing w:val="24"/>
                <w:sz w:val="24"/>
                <w:szCs w:val="24"/>
                <w:lang w:eastAsia="cs-CZ"/>
              </w:rPr>
            </w:pPr>
            <w:r w:rsidRPr="00BD51BF">
              <w:rPr>
                <w:rFonts w:ascii="Times New Roman" w:eastAsia="Times New Roman" w:hAnsi="Times New Roman" w:cs="Times New Roman"/>
                <w:spacing w:val="24"/>
                <w:sz w:val="24"/>
                <w:szCs w:val="24"/>
                <w:lang w:eastAsia="cs-CZ"/>
              </w:rPr>
              <w:pict>
                <v:rect id="_x0000_i1025" style="width:453.6pt;height:.75pt" o:hralign="center" o:hrstd="t" o:hr="t" fillcolor="#a0a0a0" stroked="f"/>
              </w:pict>
            </w:r>
          </w:p>
        </w:tc>
      </w:tr>
    </w:tbl>
    <w:p w:rsidR="003075B7" w:rsidRDefault="003075B7" w:rsidP="00BD51BF">
      <w:pPr>
        <w:spacing w:after="0" w:line="240" w:lineRule="auto"/>
        <w:jc w:val="center"/>
        <w:rPr>
          <w:rFonts w:ascii="Times New Roman" w:eastAsia="Times New Roman" w:hAnsi="Times New Roman" w:cs="Times New Roman"/>
          <w:b/>
          <w:bCs/>
          <w:sz w:val="24"/>
          <w:szCs w:val="24"/>
          <w:u w:val="single"/>
          <w:lang w:eastAsia="cs-CZ"/>
        </w:rPr>
      </w:pPr>
    </w:p>
    <w:p w:rsidR="00BD51BF" w:rsidRPr="00BD51BF" w:rsidRDefault="00BD51BF" w:rsidP="00BD51BF">
      <w:pPr>
        <w:spacing w:after="0" w:line="240" w:lineRule="auto"/>
        <w:jc w:val="center"/>
        <w:rPr>
          <w:rFonts w:ascii="Times New Roman" w:eastAsia="Times New Roman" w:hAnsi="Times New Roman" w:cs="Times New Roman"/>
          <w:b/>
          <w:bCs/>
          <w:sz w:val="24"/>
          <w:szCs w:val="24"/>
          <w:u w:val="single"/>
          <w:lang w:eastAsia="cs-CZ"/>
        </w:rPr>
      </w:pPr>
      <w:r w:rsidRPr="00BD51BF">
        <w:rPr>
          <w:rFonts w:ascii="Times New Roman" w:eastAsia="Times New Roman" w:hAnsi="Times New Roman" w:cs="Times New Roman"/>
          <w:b/>
          <w:bCs/>
          <w:sz w:val="24"/>
          <w:szCs w:val="24"/>
          <w:u w:val="single"/>
          <w:lang w:eastAsia="cs-CZ"/>
        </w:rPr>
        <w:t>Soubor rozpočtových opatření</w:t>
      </w:r>
      <w:r>
        <w:rPr>
          <w:rFonts w:ascii="Times New Roman" w:eastAsia="Times New Roman" w:hAnsi="Times New Roman" w:cs="Times New Roman"/>
          <w:b/>
          <w:bCs/>
          <w:sz w:val="24"/>
          <w:szCs w:val="24"/>
          <w:u w:val="single"/>
          <w:lang w:eastAsia="cs-CZ"/>
        </w:rPr>
        <w:t xml:space="preserve"> RM č. 39-41</w:t>
      </w:r>
    </w:p>
    <w:p w:rsidR="003075B7" w:rsidRDefault="003075B7" w:rsidP="00BD51BF">
      <w:pPr>
        <w:spacing w:after="0" w:line="240" w:lineRule="auto"/>
        <w:jc w:val="both"/>
        <w:rPr>
          <w:rFonts w:ascii="Times New Roman" w:eastAsia="Times New Roman" w:hAnsi="Times New Roman" w:cs="Times New Roman"/>
          <w:b/>
          <w:bCs/>
          <w:sz w:val="24"/>
          <w:szCs w:val="24"/>
          <w:lang w:eastAsia="cs-CZ"/>
        </w:rPr>
      </w:pPr>
    </w:p>
    <w:p w:rsidR="003075B7" w:rsidRDefault="003075B7" w:rsidP="00BD51BF">
      <w:pPr>
        <w:spacing w:after="0" w:line="240" w:lineRule="auto"/>
        <w:jc w:val="both"/>
        <w:rPr>
          <w:rFonts w:ascii="Times New Roman" w:eastAsia="Times New Roman" w:hAnsi="Times New Roman" w:cs="Times New Roman"/>
          <w:b/>
          <w:bCs/>
          <w:sz w:val="24"/>
          <w:szCs w:val="24"/>
          <w:lang w:eastAsia="cs-CZ"/>
        </w:rPr>
      </w:pPr>
    </w:p>
    <w:p w:rsidR="00BD51BF" w:rsidRPr="00BD51BF" w:rsidRDefault="00BD51BF" w:rsidP="00BD51BF">
      <w:pPr>
        <w:spacing w:after="0" w:line="240" w:lineRule="auto"/>
        <w:jc w:val="both"/>
        <w:rPr>
          <w:rFonts w:ascii="Times New Roman" w:eastAsia="Times New Roman" w:hAnsi="Times New Roman" w:cs="Times New Roman"/>
          <w:sz w:val="24"/>
          <w:szCs w:val="24"/>
          <w:lang w:eastAsia="cs-CZ"/>
        </w:rPr>
      </w:pPr>
      <w:r w:rsidRPr="00BD51BF">
        <w:rPr>
          <w:rFonts w:ascii="Times New Roman" w:eastAsia="Times New Roman" w:hAnsi="Times New Roman" w:cs="Times New Roman"/>
          <w:b/>
          <w:bCs/>
          <w:sz w:val="24"/>
          <w:szCs w:val="24"/>
          <w:lang w:eastAsia="cs-CZ"/>
        </w:rPr>
        <w:t>Rozpočtové opatření č. 39 - Lesní hospodář</w:t>
      </w:r>
    </w:p>
    <w:p w:rsidR="00BD51BF" w:rsidRPr="00BD51BF" w:rsidRDefault="00BD51BF" w:rsidP="00BD51BF">
      <w:pPr>
        <w:spacing w:after="0" w:line="240" w:lineRule="auto"/>
        <w:jc w:val="both"/>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Na bankovní účet města došla finanční částka poukázána ze státního rozpočtu vlastníkům  lesa, kteří mají ustanoveného lesního hospodáře, aby lesním hospodářům  mohly poskytnout peněžní prostředky na hrazení nákladů podle vyhlášky č. 423/2011 Sb., ve výši 22 080 Kč. Tato částka bude napojena na rozpočet  -  položka 5192 -  oddělení  ŽP - MZe ČR  - lesní hospodář,  zápornou částkou ve výši 22 100 Kč a na výdajovou položku rozpočtu  5192 ŽP - Lesní hospodář, kladnou částkou ve stejné výši.</w:t>
      </w:r>
    </w:p>
    <w:p w:rsidR="003075B7" w:rsidRDefault="003075B7" w:rsidP="00BD51BF">
      <w:pPr>
        <w:spacing w:after="0" w:line="240" w:lineRule="auto"/>
        <w:jc w:val="both"/>
        <w:rPr>
          <w:rFonts w:ascii="Times New Roman" w:eastAsia="Times New Roman" w:hAnsi="Times New Roman" w:cs="Times New Roman"/>
          <w:sz w:val="24"/>
          <w:szCs w:val="24"/>
          <w:lang w:eastAsia="cs-CZ"/>
        </w:rPr>
      </w:pPr>
    </w:p>
    <w:p w:rsidR="003075B7" w:rsidRDefault="003075B7" w:rsidP="00BD51BF">
      <w:pPr>
        <w:spacing w:after="0" w:line="240" w:lineRule="auto"/>
        <w:jc w:val="both"/>
        <w:rPr>
          <w:rFonts w:ascii="Times New Roman" w:eastAsia="Times New Roman" w:hAnsi="Times New Roman" w:cs="Times New Roman"/>
          <w:sz w:val="24"/>
          <w:szCs w:val="24"/>
          <w:lang w:eastAsia="cs-CZ"/>
        </w:rPr>
      </w:pPr>
    </w:p>
    <w:p w:rsidR="00BD51BF" w:rsidRPr="00BD51BF" w:rsidRDefault="00BD51BF" w:rsidP="00BD51BF">
      <w:pPr>
        <w:spacing w:after="0" w:line="240" w:lineRule="auto"/>
        <w:jc w:val="both"/>
        <w:rPr>
          <w:rFonts w:ascii="Times New Roman" w:eastAsia="Times New Roman" w:hAnsi="Times New Roman" w:cs="Times New Roman"/>
          <w:sz w:val="24"/>
          <w:szCs w:val="24"/>
          <w:lang w:eastAsia="cs-CZ"/>
        </w:rPr>
      </w:pPr>
      <w:r w:rsidRPr="00BD51BF">
        <w:rPr>
          <w:rFonts w:ascii="Times New Roman" w:eastAsia="Times New Roman" w:hAnsi="Times New Roman" w:cs="Times New Roman"/>
          <w:b/>
          <w:bCs/>
          <w:sz w:val="24"/>
          <w:szCs w:val="24"/>
          <w:lang w:eastAsia="cs-CZ"/>
        </w:rPr>
        <w:t>Rozpočtové opatření č. 40 - Navýšení pol. - památník obětem I. a II. sv. války</w:t>
      </w:r>
    </w:p>
    <w:p w:rsidR="00BD51BF" w:rsidRPr="00BD51BF" w:rsidRDefault="00BD51BF" w:rsidP="00BD51BF">
      <w:pPr>
        <w:spacing w:after="0" w:line="240" w:lineRule="auto"/>
        <w:jc w:val="both"/>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 xml:space="preserve">Se společností LIVINGSTAV, s.r.o. byla </w:t>
      </w:r>
      <w:r w:rsidR="00AE5428" w:rsidRPr="00BD51BF">
        <w:rPr>
          <w:rFonts w:ascii="Times New Roman" w:eastAsia="Times New Roman" w:hAnsi="Times New Roman" w:cs="Times New Roman"/>
          <w:sz w:val="24"/>
          <w:szCs w:val="24"/>
          <w:lang w:eastAsia="cs-CZ"/>
        </w:rPr>
        <w:t>6. 3. 2018</w:t>
      </w:r>
      <w:r w:rsidRPr="00BD51BF">
        <w:rPr>
          <w:rFonts w:ascii="Times New Roman" w:eastAsia="Times New Roman" w:hAnsi="Times New Roman" w:cs="Times New Roman"/>
          <w:sz w:val="24"/>
          <w:szCs w:val="24"/>
          <w:lang w:eastAsia="cs-CZ"/>
        </w:rPr>
        <w:t xml:space="preserve"> uzavřena smlouva o dílo na projekt, výrobu a instalaci památníku obětem světových válek. V průběhu příprav akce byly při jednáních zhotovitele s vedením města předjednány doplňkové práce spočívající v instalaci informativního nápisu na nerezové desce do zpevněné plochy před památníkem, prodloužení napojení osvětlení památníku na VO a ochrana památníku před odhalením. Náklady na realizaci těchto prací byly vyčísleny ve výši 179.080,- Kč vč. DPH. Zastupitelstvo města konané dne </w:t>
      </w:r>
      <w:r w:rsidR="00AE5428" w:rsidRPr="00BD51BF">
        <w:rPr>
          <w:rFonts w:ascii="Times New Roman" w:eastAsia="Times New Roman" w:hAnsi="Times New Roman" w:cs="Times New Roman"/>
          <w:sz w:val="24"/>
          <w:szCs w:val="24"/>
          <w:lang w:eastAsia="cs-CZ"/>
        </w:rPr>
        <w:t>26. 2. 2018</w:t>
      </w:r>
      <w:r w:rsidRPr="00BD51BF">
        <w:rPr>
          <w:rFonts w:ascii="Times New Roman" w:eastAsia="Times New Roman" w:hAnsi="Times New Roman" w:cs="Times New Roman"/>
          <w:sz w:val="24"/>
          <w:szCs w:val="24"/>
          <w:lang w:eastAsia="cs-CZ"/>
        </w:rPr>
        <w:t xml:space="preserve"> schválilo prostředky na financování akce ve výši 1.400.000,- Kč. Cena díla dle uzavřené smlouvy o dílo činí 1.107.600,- Kč bez DPH tj. 1.340.196,- Kč vč. DPH. Po úhradě geodetického zaměření a geolog. průzkumu a započtení vázané částky na úhradu uzavřené smlouvy o dílo se společností LIVINGSTAV, s.r.o. na této položce zbývá disponibilních cca. 45.000 Kč. Pro krytí dodatečných víceprací odbor SMIR navrhuje navýšit výdajovou položku rozpočtu IR - Památník obětem I. a II. sv. války  o částku 150 000 Kč. Finanční krytí bude zajištěno snížením položky IR -  Nutné opravy budov a staveb ve stejné výši.</w:t>
      </w:r>
    </w:p>
    <w:p w:rsidR="003075B7" w:rsidRDefault="003075B7" w:rsidP="00BD51BF">
      <w:pPr>
        <w:spacing w:after="0" w:line="240" w:lineRule="auto"/>
        <w:jc w:val="both"/>
        <w:rPr>
          <w:rFonts w:ascii="Times New Roman" w:eastAsia="Times New Roman" w:hAnsi="Times New Roman" w:cs="Times New Roman"/>
          <w:b/>
          <w:bCs/>
          <w:sz w:val="24"/>
          <w:szCs w:val="24"/>
          <w:lang w:eastAsia="cs-CZ"/>
        </w:rPr>
      </w:pPr>
    </w:p>
    <w:p w:rsidR="003075B7" w:rsidRDefault="003075B7" w:rsidP="00BD51BF">
      <w:pPr>
        <w:spacing w:after="0" w:line="240" w:lineRule="auto"/>
        <w:jc w:val="both"/>
        <w:rPr>
          <w:rFonts w:ascii="Times New Roman" w:eastAsia="Times New Roman" w:hAnsi="Times New Roman" w:cs="Times New Roman"/>
          <w:b/>
          <w:bCs/>
          <w:sz w:val="24"/>
          <w:szCs w:val="24"/>
          <w:lang w:eastAsia="cs-CZ"/>
        </w:rPr>
      </w:pPr>
    </w:p>
    <w:p w:rsidR="00BD51BF" w:rsidRPr="00BD51BF" w:rsidRDefault="00BD51BF" w:rsidP="00BD51BF">
      <w:pPr>
        <w:spacing w:after="0" w:line="240" w:lineRule="auto"/>
        <w:jc w:val="both"/>
        <w:rPr>
          <w:rFonts w:ascii="Times New Roman" w:eastAsia="Times New Roman" w:hAnsi="Times New Roman" w:cs="Times New Roman"/>
          <w:sz w:val="24"/>
          <w:szCs w:val="24"/>
          <w:lang w:eastAsia="cs-CZ"/>
        </w:rPr>
      </w:pPr>
      <w:r w:rsidRPr="00BD51BF">
        <w:rPr>
          <w:rFonts w:ascii="Times New Roman" w:eastAsia="Times New Roman" w:hAnsi="Times New Roman" w:cs="Times New Roman"/>
          <w:b/>
          <w:bCs/>
          <w:sz w:val="24"/>
          <w:szCs w:val="24"/>
          <w:lang w:eastAsia="cs-CZ"/>
        </w:rPr>
        <w:t>Rozpočtové opatření č. 41 - Dotace z Ministerstva kultury ČR na kompletní modernizaci systému EPS Zámku Slavkov - Austerlitz</w:t>
      </w:r>
    </w:p>
    <w:p w:rsidR="00BD51BF" w:rsidRPr="00BD51BF" w:rsidRDefault="00BD51BF" w:rsidP="00BD51BF">
      <w:pPr>
        <w:spacing w:after="0" w:line="240" w:lineRule="auto"/>
        <w:jc w:val="both"/>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Na bankovní účet města došla finanční částka z Ministerstva kultury ve výši 407.000,- Kč na kompletní modernizaci systému EPS Zámku Slavkov - Austerlitz. Tato částka bude následně převedena na účet ZS-A ve stejné výši.</w:t>
      </w:r>
    </w:p>
    <w:p w:rsidR="003075B7" w:rsidRDefault="003075B7" w:rsidP="00BD51BF">
      <w:pPr>
        <w:spacing w:after="0" w:line="240" w:lineRule="auto"/>
        <w:jc w:val="both"/>
        <w:rPr>
          <w:rFonts w:ascii="Times New Roman" w:eastAsia="Times New Roman" w:hAnsi="Times New Roman" w:cs="Times New Roman"/>
          <w:b/>
          <w:bCs/>
          <w:sz w:val="24"/>
          <w:szCs w:val="24"/>
          <w:lang w:eastAsia="cs-CZ"/>
        </w:rPr>
      </w:pPr>
    </w:p>
    <w:p w:rsidR="003075B7" w:rsidRDefault="003075B7" w:rsidP="00BD51BF">
      <w:pPr>
        <w:spacing w:after="0" w:line="240" w:lineRule="auto"/>
        <w:jc w:val="both"/>
        <w:rPr>
          <w:rFonts w:ascii="Times New Roman" w:eastAsia="Times New Roman" w:hAnsi="Times New Roman" w:cs="Times New Roman"/>
          <w:b/>
          <w:bCs/>
          <w:sz w:val="24"/>
          <w:szCs w:val="24"/>
          <w:lang w:eastAsia="cs-CZ"/>
        </w:rPr>
      </w:pPr>
    </w:p>
    <w:p w:rsidR="003075B7" w:rsidRDefault="003075B7" w:rsidP="00BD51BF">
      <w:pPr>
        <w:spacing w:after="0" w:line="240" w:lineRule="auto"/>
        <w:jc w:val="both"/>
        <w:rPr>
          <w:rFonts w:ascii="Times New Roman" w:eastAsia="Times New Roman" w:hAnsi="Times New Roman" w:cs="Times New Roman"/>
          <w:b/>
          <w:bCs/>
          <w:sz w:val="24"/>
          <w:szCs w:val="24"/>
          <w:lang w:eastAsia="cs-CZ"/>
        </w:rPr>
      </w:pPr>
    </w:p>
    <w:p w:rsidR="003075B7" w:rsidRDefault="003075B7" w:rsidP="00BD51BF">
      <w:pPr>
        <w:spacing w:after="0" w:line="240" w:lineRule="auto"/>
        <w:jc w:val="both"/>
        <w:rPr>
          <w:rFonts w:ascii="Times New Roman" w:eastAsia="Times New Roman" w:hAnsi="Times New Roman" w:cs="Times New Roman"/>
          <w:b/>
          <w:bCs/>
          <w:sz w:val="24"/>
          <w:szCs w:val="24"/>
          <w:lang w:eastAsia="cs-CZ"/>
        </w:rPr>
      </w:pPr>
    </w:p>
    <w:p w:rsidR="003075B7" w:rsidRDefault="003075B7" w:rsidP="00BD51BF">
      <w:pPr>
        <w:spacing w:after="0" w:line="240" w:lineRule="auto"/>
        <w:jc w:val="both"/>
        <w:rPr>
          <w:rFonts w:ascii="Times New Roman" w:eastAsia="Times New Roman" w:hAnsi="Times New Roman" w:cs="Times New Roman"/>
          <w:b/>
          <w:bCs/>
          <w:sz w:val="24"/>
          <w:szCs w:val="24"/>
          <w:lang w:eastAsia="cs-CZ"/>
        </w:rPr>
      </w:pPr>
    </w:p>
    <w:p w:rsidR="003075B7" w:rsidRDefault="003075B7" w:rsidP="00BD51BF">
      <w:pPr>
        <w:spacing w:after="0" w:line="240" w:lineRule="auto"/>
        <w:jc w:val="both"/>
        <w:rPr>
          <w:rFonts w:ascii="Times New Roman" w:eastAsia="Times New Roman" w:hAnsi="Times New Roman" w:cs="Times New Roman"/>
          <w:b/>
          <w:bCs/>
          <w:sz w:val="24"/>
          <w:szCs w:val="24"/>
          <w:lang w:eastAsia="cs-CZ"/>
        </w:rPr>
      </w:pPr>
    </w:p>
    <w:p w:rsidR="003075B7" w:rsidRDefault="003075B7" w:rsidP="00BD51BF">
      <w:pPr>
        <w:spacing w:after="0" w:line="240" w:lineRule="auto"/>
        <w:jc w:val="both"/>
        <w:rPr>
          <w:rFonts w:ascii="Times New Roman" w:eastAsia="Times New Roman" w:hAnsi="Times New Roman" w:cs="Times New Roman"/>
          <w:b/>
          <w:bCs/>
          <w:sz w:val="24"/>
          <w:szCs w:val="24"/>
          <w:lang w:eastAsia="cs-CZ"/>
        </w:rPr>
      </w:pPr>
    </w:p>
    <w:p w:rsidR="00BD51BF" w:rsidRPr="00BD51BF" w:rsidRDefault="00BD51BF" w:rsidP="00BD51BF">
      <w:pPr>
        <w:spacing w:after="0" w:line="240" w:lineRule="auto"/>
        <w:jc w:val="both"/>
        <w:rPr>
          <w:rFonts w:ascii="Times New Roman" w:eastAsia="Times New Roman" w:hAnsi="Times New Roman" w:cs="Times New Roman"/>
          <w:b/>
          <w:bCs/>
          <w:sz w:val="24"/>
          <w:szCs w:val="24"/>
          <w:lang w:eastAsia="cs-CZ"/>
        </w:rPr>
      </w:pPr>
      <w:r w:rsidRPr="00BD51BF">
        <w:rPr>
          <w:rFonts w:ascii="Times New Roman" w:eastAsia="Times New Roman" w:hAnsi="Times New Roman" w:cs="Times New Roman"/>
          <w:b/>
          <w:bCs/>
          <w:sz w:val="24"/>
          <w:szCs w:val="24"/>
          <w:lang w:eastAsia="cs-CZ"/>
        </w:rPr>
        <w:lastRenderedPageBreak/>
        <w:t>I. Rada města schvaluje</w:t>
      </w:r>
    </w:p>
    <w:p w:rsidR="00BD51BF" w:rsidRPr="00BD51BF" w:rsidRDefault="00BD51BF" w:rsidP="00BD51BF">
      <w:pPr>
        <w:spacing w:after="0" w:line="240" w:lineRule="auto"/>
        <w:jc w:val="both"/>
        <w:rPr>
          <w:rFonts w:ascii="Times New Roman" w:eastAsia="Times New Roman" w:hAnsi="Times New Roman" w:cs="Times New Roman"/>
          <w:sz w:val="24"/>
          <w:szCs w:val="24"/>
          <w:lang w:eastAsia="cs-CZ"/>
        </w:rPr>
      </w:pPr>
      <w:r w:rsidRPr="003075B7">
        <w:rPr>
          <w:rFonts w:ascii="Times New Roman" w:eastAsia="Times New Roman" w:hAnsi="Times New Roman" w:cs="Times New Roman"/>
          <w:b/>
          <w:bCs/>
          <w:sz w:val="24"/>
          <w:szCs w:val="24"/>
          <w:lang w:eastAsia="cs-CZ"/>
        </w:rPr>
        <w:t>a provádí v souladu s usnesením č. 388/21/ZM/2017 rozpočtové opatření v předloženém znění takto:</w:t>
      </w:r>
    </w:p>
    <w:tbl>
      <w:tblPr>
        <w:tblW w:w="9087" w:type="dxa"/>
        <w:tblCellMar>
          <w:top w:w="15" w:type="dxa"/>
          <w:left w:w="15" w:type="dxa"/>
          <w:bottom w:w="15" w:type="dxa"/>
          <w:right w:w="15" w:type="dxa"/>
        </w:tblCellMar>
        <w:tblLook w:val="04A0" w:firstRow="1" w:lastRow="0" w:firstColumn="1" w:lastColumn="0" w:noHBand="0" w:noVBand="1"/>
      </w:tblPr>
      <w:tblGrid>
        <w:gridCol w:w="391"/>
        <w:gridCol w:w="510"/>
        <w:gridCol w:w="544"/>
        <w:gridCol w:w="510"/>
        <w:gridCol w:w="510"/>
        <w:gridCol w:w="577"/>
        <w:gridCol w:w="630"/>
        <w:gridCol w:w="3431"/>
        <w:gridCol w:w="850"/>
        <w:gridCol w:w="1134"/>
      </w:tblGrid>
      <w:tr w:rsidR="00AE5428" w:rsidRPr="003075B7" w:rsidTr="003075B7">
        <w:trPr>
          <w:trHeight w:val="402"/>
        </w:trPr>
        <w:tc>
          <w:tcPr>
            <w:tcW w:w="391" w:type="dxa"/>
            <w:tcBorders>
              <w:top w:val="single" w:sz="4" w:space="0" w:color="auto"/>
              <w:left w:val="single" w:sz="4" w:space="0" w:color="auto"/>
              <w:bottom w:val="single" w:sz="4" w:space="0" w:color="auto"/>
              <w:right w:val="single" w:sz="4" w:space="0" w:color="auto"/>
            </w:tcBorders>
            <w:vAlign w:val="center"/>
            <w:hideMark/>
          </w:tcPr>
          <w:p w:rsidR="00BD51BF" w:rsidRPr="00BD51BF" w:rsidRDefault="00BD51BF" w:rsidP="00BD51BF">
            <w:pPr>
              <w:spacing w:after="0" w:line="240" w:lineRule="auto"/>
              <w:jc w:val="center"/>
              <w:rPr>
                <w:rFonts w:ascii="Times New Roman" w:eastAsia="Times New Roman" w:hAnsi="Times New Roman" w:cs="Times New Roman"/>
                <w:sz w:val="24"/>
                <w:szCs w:val="24"/>
                <w:lang w:eastAsia="cs-CZ"/>
              </w:rPr>
            </w:pPr>
            <w:r w:rsidRPr="003075B7">
              <w:rPr>
                <w:rFonts w:ascii="Times New Roman" w:eastAsia="Times New Roman" w:hAnsi="Times New Roman" w:cs="Times New Roman"/>
                <w:b/>
                <w:bCs/>
                <w:color w:val="000000"/>
                <w:sz w:val="24"/>
                <w:szCs w:val="24"/>
                <w:lang w:eastAsia="cs-CZ"/>
              </w:rPr>
              <w:t>RO</w:t>
            </w:r>
          </w:p>
        </w:tc>
        <w:tc>
          <w:tcPr>
            <w:tcW w:w="510" w:type="dxa"/>
            <w:tcBorders>
              <w:top w:val="single" w:sz="4" w:space="0" w:color="auto"/>
              <w:left w:val="nil"/>
              <w:bottom w:val="single" w:sz="4" w:space="0" w:color="auto"/>
              <w:right w:val="single" w:sz="4" w:space="0" w:color="auto"/>
            </w:tcBorders>
            <w:vAlign w:val="center"/>
            <w:hideMark/>
          </w:tcPr>
          <w:p w:rsidR="00BD51BF" w:rsidRPr="00BD51BF" w:rsidRDefault="00BD51BF" w:rsidP="00BD51BF">
            <w:pPr>
              <w:spacing w:after="0" w:line="240" w:lineRule="auto"/>
              <w:jc w:val="center"/>
              <w:rPr>
                <w:rFonts w:ascii="Times New Roman" w:eastAsia="Times New Roman" w:hAnsi="Times New Roman" w:cs="Times New Roman"/>
                <w:sz w:val="24"/>
                <w:szCs w:val="24"/>
                <w:lang w:eastAsia="cs-CZ"/>
              </w:rPr>
            </w:pPr>
            <w:r w:rsidRPr="003075B7">
              <w:rPr>
                <w:rFonts w:ascii="Times New Roman" w:eastAsia="Times New Roman" w:hAnsi="Times New Roman" w:cs="Times New Roman"/>
                <w:b/>
                <w:bCs/>
                <w:color w:val="000000"/>
                <w:sz w:val="24"/>
                <w:szCs w:val="24"/>
                <w:lang w:eastAsia="cs-CZ"/>
              </w:rPr>
              <w:t>ORJ</w:t>
            </w:r>
          </w:p>
        </w:tc>
        <w:tc>
          <w:tcPr>
            <w:tcW w:w="544" w:type="dxa"/>
            <w:tcBorders>
              <w:top w:val="single" w:sz="4" w:space="0" w:color="auto"/>
              <w:left w:val="nil"/>
              <w:bottom w:val="single" w:sz="4" w:space="0" w:color="auto"/>
              <w:right w:val="single" w:sz="4" w:space="0" w:color="auto"/>
            </w:tcBorders>
            <w:vAlign w:val="center"/>
            <w:hideMark/>
          </w:tcPr>
          <w:p w:rsidR="00BD51BF" w:rsidRPr="00BD51BF" w:rsidRDefault="00BD51BF" w:rsidP="00BD51BF">
            <w:pPr>
              <w:spacing w:after="0" w:line="240" w:lineRule="auto"/>
              <w:jc w:val="center"/>
              <w:rPr>
                <w:rFonts w:ascii="Times New Roman" w:eastAsia="Times New Roman" w:hAnsi="Times New Roman" w:cs="Times New Roman"/>
                <w:sz w:val="24"/>
                <w:szCs w:val="24"/>
                <w:lang w:eastAsia="cs-CZ"/>
              </w:rPr>
            </w:pPr>
            <w:r w:rsidRPr="003075B7">
              <w:rPr>
                <w:rFonts w:ascii="Times New Roman" w:eastAsia="Times New Roman" w:hAnsi="Times New Roman" w:cs="Times New Roman"/>
                <w:b/>
                <w:bCs/>
                <w:color w:val="000000"/>
                <w:sz w:val="24"/>
                <w:szCs w:val="24"/>
                <w:lang w:eastAsia="cs-CZ"/>
              </w:rPr>
              <w:t>Odd.</w:t>
            </w:r>
          </w:p>
        </w:tc>
        <w:tc>
          <w:tcPr>
            <w:tcW w:w="510" w:type="dxa"/>
            <w:tcBorders>
              <w:top w:val="single" w:sz="4" w:space="0" w:color="auto"/>
              <w:left w:val="nil"/>
              <w:bottom w:val="single" w:sz="4" w:space="0" w:color="auto"/>
              <w:right w:val="single" w:sz="4" w:space="0" w:color="auto"/>
            </w:tcBorders>
            <w:vAlign w:val="center"/>
            <w:hideMark/>
          </w:tcPr>
          <w:p w:rsidR="00BD51BF" w:rsidRPr="00BD51BF" w:rsidRDefault="00BD51BF" w:rsidP="00BD51BF">
            <w:pPr>
              <w:spacing w:after="0" w:line="240" w:lineRule="auto"/>
              <w:jc w:val="center"/>
              <w:rPr>
                <w:rFonts w:ascii="Times New Roman" w:eastAsia="Times New Roman" w:hAnsi="Times New Roman" w:cs="Times New Roman"/>
                <w:sz w:val="24"/>
                <w:szCs w:val="24"/>
                <w:lang w:eastAsia="cs-CZ"/>
              </w:rPr>
            </w:pPr>
            <w:r w:rsidRPr="003075B7">
              <w:rPr>
                <w:rFonts w:ascii="Times New Roman" w:eastAsia="Times New Roman" w:hAnsi="Times New Roman" w:cs="Times New Roman"/>
                <w:b/>
                <w:bCs/>
                <w:color w:val="000000"/>
                <w:sz w:val="24"/>
                <w:szCs w:val="24"/>
                <w:lang w:eastAsia="cs-CZ"/>
              </w:rPr>
              <w:t>§</w:t>
            </w:r>
          </w:p>
        </w:tc>
        <w:tc>
          <w:tcPr>
            <w:tcW w:w="510" w:type="dxa"/>
            <w:tcBorders>
              <w:top w:val="single" w:sz="4" w:space="0" w:color="auto"/>
              <w:left w:val="nil"/>
              <w:bottom w:val="single" w:sz="4" w:space="0" w:color="auto"/>
              <w:right w:val="single" w:sz="4" w:space="0" w:color="auto"/>
            </w:tcBorders>
            <w:vAlign w:val="center"/>
            <w:hideMark/>
          </w:tcPr>
          <w:p w:rsidR="00BD51BF" w:rsidRPr="00BD51BF" w:rsidRDefault="00BD51BF" w:rsidP="00BD51BF">
            <w:pPr>
              <w:spacing w:after="0" w:line="240" w:lineRule="auto"/>
              <w:jc w:val="center"/>
              <w:rPr>
                <w:rFonts w:ascii="Times New Roman" w:eastAsia="Times New Roman" w:hAnsi="Times New Roman" w:cs="Times New Roman"/>
                <w:sz w:val="24"/>
                <w:szCs w:val="24"/>
                <w:lang w:eastAsia="cs-CZ"/>
              </w:rPr>
            </w:pPr>
            <w:r w:rsidRPr="003075B7">
              <w:rPr>
                <w:rFonts w:ascii="Times New Roman" w:eastAsia="Times New Roman" w:hAnsi="Times New Roman" w:cs="Times New Roman"/>
                <w:b/>
                <w:bCs/>
                <w:color w:val="000000"/>
                <w:sz w:val="24"/>
                <w:szCs w:val="24"/>
                <w:lang w:eastAsia="cs-CZ"/>
              </w:rPr>
              <w:t>Pol.</w:t>
            </w:r>
          </w:p>
        </w:tc>
        <w:tc>
          <w:tcPr>
            <w:tcW w:w="577" w:type="dxa"/>
            <w:tcBorders>
              <w:top w:val="single" w:sz="4" w:space="0" w:color="auto"/>
              <w:left w:val="nil"/>
              <w:bottom w:val="single" w:sz="4" w:space="0" w:color="auto"/>
              <w:right w:val="single" w:sz="4" w:space="0" w:color="auto"/>
            </w:tcBorders>
            <w:vAlign w:val="center"/>
            <w:hideMark/>
          </w:tcPr>
          <w:p w:rsidR="00BD51BF" w:rsidRPr="00BD51BF" w:rsidRDefault="00BD51BF" w:rsidP="00BD51BF">
            <w:pPr>
              <w:spacing w:after="0" w:line="240" w:lineRule="auto"/>
              <w:jc w:val="center"/>
              <w:rPr>
                <w:rFonts w:ascii="Times New Roman" w:eastAsia="Times New Roman" w:hAnsi="Times New Roman" w:cs="Times New Roman"/>
                <w:sz w:val="24"/>
                <w:szCs w:val="24"/>
                <w:lang w:eastAsia="cs-CZ"/>
              </w:rPr>
            </w:pPr>
            <w:r w:rsidRPr="003075B7">
              <w:rPr>
                <w:rFonts w:ascii="Times New Roman" w:eastAsia="Times New Roman" w:hAnsi="Times New Roman" w:cs="Times New Roman"/>
                <w:b/>
                <w:bCs/>
                <w:color w:val="000000"/>
                <w:sz w:val="24"/>
                <w:szCs w:val="24"/>
                <w:lang w:eastAsia="cs-CZ"/>
              </w:rPr>
              <w:t>ORG</w:t>
            </w:r>
          </w:p>
        </w:tc>
        <w:tc>
          <w:tcPr>
            <w:tcW w:w="630" w:type="dxa"/>
            <w:tcBorders>
              <w:top w:val="single" w:sz="4" w:space="0" w:color="auto"/>
              <w:left w:val="nil"/>
              <w:bottom w:val="single" w:sz="4" w:space="0" w:color="auto"/>
              <w:right w:val="single" w:sz="4" w:space="0" w:color="auto"/>
            </w:tcBorders>
            <w:vAlign w:val="center"/>
            <w:hideMark/>
          </w:tcPr>
          <w:p w:rsidR="00BD51BF" w:rsidRPr="00BD51BF" w:rsidRDefault="00BD51BF" w:rsidP="00BD51BF">
            <w:pPr>
              <w:spacing w:after="0" w:line="240" w:lineRule="auto"/>
              <w:jc w:val="center"/>
              <w:rPr>
                <w:rFonts w:ascii="Times New Roman" w:eastAsia="Times New Roman" w:hAnsi="Times New Roman" w:cs="Times New Roman"/>
                <w:sz w:val="24"/>
                <w:szCs w:val="24"/>
                <w:lang w:eastAsia="cs-CZ"/>
              </w:rPr>
            </w:pPr>
            <w:r w:rsidRPr="003075B7">
              <w:rPr>
                <w:rFonts w:ascii="Times New Roman" w:eastAsia="Times New Roman" w:hAnsi="Times New Roman" w:cs="Times New Roman"/>
                <w:b/>
                <w:bCs/>
                <w:color w:val="000000"/>
                <w:sz w:val="24"/>
                <w:szCs w:val="24"/>
                <w:lang w:eastAsia="cs-CZ"/>
              </w:rPr>
              <w:t>ÚZ</w:t>
            </w:r>
          </w:p>
        </w:tc>
        <w:tc>
          <w:tcPr>
            <w:tcW w:w="3431" w:type="dxa"/>
            <w:tcBorders>
              <w:top w:val="single" w:sz="4" w:space="0" w:color="auto"/>
              <w:left w:val="nil"/>
              <w:bottom w:val="single" w:sz="4" w:space="0" w:color="auto"/>
              <w:right w:val="single" w:sz="4" w:space="0" w:color="auto"/>
            </w:tcBorders>
            <w:vAlign w:val="center"/>
            <w:hideMark/>
          </w:tcPr>
          <w:p w:rsidR="00BD51BF" w:rsidRPr="00BD51BF" w:rsidRDefault="00BD51BF" w:rsidP="00BD51BF">
            <w:pPr>
              <w:spacing w:after="0" w:line="240" w:lineRule="auto"/>
              <w:jc w:val="center"/>
              <w:rPr>
                <w:rFonts w:ascii="Times New Roman" w:eastAsia="Times New Roman" w:hAnsi="Times New Roman" w:cs="Times New Roman"/>
                <w:sz w:val="24"/>
                <w:szCs w:val="24"/>
                <w:lang w:eastAsia="cs-CZ"/>
              </w:rPr>
            </w:pPr>
            <w:r w:rsidRPr="003075B7">
              <w:rPr>
                <w:rFonts w:ascii="Times New Roman" w:eastAsia="Times New Roman" w:hAnsi="Times New Roman" w:cs="Times New Roman"/>
                <w:b/>
                <w:bCs/>
                <w:color w:val="000000"/>
                <w:sz w:val="24"/>
                <w:szCs w:val="24"/>
                <w:lang w:eastAsia="cs-CZ"/>
              </w:rPr>
              <w:t>Text</w:t>
            </w:r>
          </w:p>
        </w:tc>
        <w:tc>
          <w:tcPr>
            <w:tcW w:w="850" w:type="dxa"/>
            <w:tcBorders>
              <w:top w:val="single" w:sz="4" w:space="0" w:color="auto"/>
              <w:left w:val="nil"/>
              <w:bottom w:val="single" w:sz="4" w:space="0" w:color="auto"/>
              <w:right w:val="single" w:sz="4" w:space="0" w:color="auto"/>
            </w:tcBorders>
            <w:vAlign w:val="center"/>
            <w:hideMark/>
          </w:tcPr>
          <w:p w:rsidR="00BD51BF" w:rsidRPr="00BD51BF" w:rsidRDefault="00BD51BF" w:rsidP="00BD51BF">
            <w:pPr>
              <w:spacing w:after="0" w:line="240" w:lineRule="auto"/>
              <w:jc w:val="center"/>
              <w:rPr>
                <w:rFonts w:ascii="Times New Roman" w:eastAsia="Times New Roman" w:hAnsi="Times New Roman" w:cs="Times New Roman"/>
                <w:sz w:val="24"/>
                <w:szCs w:val="24"/>
                <w:lang w:eastAsia="cs-CZ"/>
              </w:rPr>
            </w:pPr>
            <w:r w:rsidRPr="003075B7">
              <w:rPr>
                <w:rFonts w:ascii="Times New Roman" w:eastAsia="Times New Roman" w:hAnsi="Times New Roman" w:cs="Times New Roman"/>
                <w:b/>
                <w:bCs/>
                <w:color w:val="000000"/>
                <w:sz w:val="24"/>
                <w:szCs w:val="24"/>
                <w:lang w:eastAsia="cs-CZ"/>
              </w:rPr>
              <w:t>Příjmy (Kč)</w:t>
            </w:r>
          </w:p>
        </w:tc>
        <w:tc>
          <w:tcPr>
            <w:tcW w:w="1134" w:type="dxa"/>
            <w:tcBorders>
              <w:top w:val="single" w:sz="4" w:space="0" w:color="auto"/>
              <w:left w:val="nil"/>
              <w:bottom w:val="single" w:sz="4" w:space="0" w:color="auto"/>
              <w:right w:val="single" w:sz="4" w:space="0" w:color="auto"/>
            </w:tcBorders>
            <w:vAlign w:val="center"/>
            <w:hideMark/>
          </w:tcPr>
          <w:p w:rsidR="00BD51BF" w:rsidRPr="00BD51BF" w:rsidRDefault="00BD51BF" w:rsidP="00BD51BF">
            <w:pPr>
              <w:spacing w:after="0" w:line="240" w:lineRule="auto"/>
              <w:jc w:val="center"/>
              <w:rPr>
                <w:rFonts w:ascii="Times New Roman" w:eastAsia="Times New Roman" w:hAnsi="Times New Roman" w:cs="Times New Roman"/>
                <w:sz w:val="24"/>
                <w:szCs w:val="24"/>
                <w:lang w:eastAsia="cs-CZ"/>
              </w:rPr>
            </w:pPr>
            <w:r w:rsidRPr="003075B7">
              <w:rPr>
                <w:rFonts w:ascii="Times New Roman" w:eastAsia="Times New Roman" w:hAnsi="Times New Roman" w:cs="Times New Roman"/>
                <w:b/>
                <w:bCs/>
                <w:color w:val="000000"/>
                <w:sz w:val="24"/>
                <w:szCs w:val="24"/>
                <w:lang w:eastAsia="cs-CZ"/>
              </w:rPr>
              <w:t>Výdaje (Kč)</w:t>
            </w:r>
          </w:p>
        </w:tc>
      </w:tr>
      <w:tr w:rsidR="00AE5428" w:rsidRPr="003075B7" w:rsidTr="003075B7">
        <w:trPr>
          <w:trHeight w:val="270"/>
        </w:trPr>
        <w:tc>
          <w:tcPr>
            <w:tcW w:w="0" w:type="auto"/>
            <w:vMerge w:val="restart"/>
            <w:tcBorders>
              <w:top w:val="nil"/>
              <w:left w:val="single" w:sz="4" w:space="0" w:color="auto"/>
              <w:bottom w:val="single" w:sz="4" w:space="0" w:color="000000"/>
              <w:right w:val="single" w:sz="4" w:space="0" w:color="auto"/>
            </w:tcBorders>
            <w:vAlign w:val="center"/>
            <w:hideMark/>
          </w:tcPr>
          <w:p w:rsidR="00BD51BF" w:rsidRPr="00BD51BF" w:rsidRDefault="00BD51BF" w:rsidP="00BD51BF">
            <w:pPr>
              <w:spacing w:after="0" w:line="240" w:lineRule="auto"/>
              <w:jc w:val="center"/>
              <w:rPr>
                <w:rFonts w:ascii="Times New Roman" w:eastAsia="Times New Roman" w:hAnsi="Times New Roman" w:cs="Times New Roman"/>
                <w:sz w:val="24"/>
                <w:szCs w:val="24"/>
                <w:lang w:eastAsia="cs-CZ"/>
              </w:rPr>
            </w:pPr>
            <w:r w:rsidRPr="003075B7">
              <w:rPr>
                <w:rFonts w:ascii="Times New Roman" w:eastAsia="Times New Roman" w:hAnsi="Times New Roman" w:cs="Times New Roman"/>
                <w:b/>
                <w:bCs/>
                <w:color w:val="000000"/>
                <w:sz w:val="24"/>
                <w:szCs w:val="24"/>
                <w:lang w:eastAsia="cs-CZ"/>
              </w:rPr>
              <w:t>39</w:t>
            </w:r>
          </w:p>
        </w:tc>
        <w:tc>
          <w:tcPr>
            <w:tcW w:w="0" w:type="auto"/>
            <w:tcBorders>
              <w:top w:val="nil"/>
              <w:left w:val="nil"/>
              <w:bottom w:val="nil"/>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20</w:t>
            </w:r>
          </w:p>
        </w:tc>
        <w:tc>
          <w:tcPr>
            <w:tcW w:w="0" w:type="auto"/>
            <w:tcBorders>
              <w:top w:val="nil"/>
              <w:left w:val="nil"/>
              <w:bottom w:val="nil"/>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22</w:t>
            </w:r>
          </w:p>
        </w:tc>
        <w:tc>
          <w:tcPr>
            <w:tcW w:w="0" w:type="auto"/>
            <w:tcBorders>
              <w:top w:val="nil"/>
              <w:left w:val="nil"/>
              <w:bottom w:val="nil"/>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1036</w:t>
            </w:r>
          </w:p>
        </w:tc>
        <w:tc>
          <w:tcPr>
            <w:tcW w:w="0" w:type="auto"/>
            <w:tcBorders>
              <w:top w:val="nil"/>
              <w:left w:val="nil"/>
              <w:bottom w:val="nil"/>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5192</w:t>
            </w:r>
          </w:p>
        </w:tc>
        <w:tc>
          <w:tcPr>
            <w:tcW w:w="0" w:type="auto"/>
            <w:tcBorders>
              <w:top w:val="nil"/>
              <w:left w:val="nil"/>
              <w:bottom w:val="nil"/>
              <w:right w:val="single" w:sz="4" w:space="0" w:color="auto"/>
            </w:tcBorders>
            <w:vAlign w:val="center"/>
            <w:hideMark/>
          </w:tcPr>
          <w:p w:rsidR="00BD51BF" w:rsidRPr="00BD51BF" w:rsidRDefault="00BD51BF"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 </w:t>
            </w:r>
          </w:p>
        </w:tc>
        <w:tc>
          <w:tcPr>
            <w:tcW w:w="0" w:type="auto"/>
            <w:tcBorders>
              <w:top w:val="nil"/>
              <w:left w:val="nil"/>
              <w:bottom w:val="nil"/>
              <w:right w:val="single" w:sz="4" w:space="0" w:color="auto"/>
            </w:tcBorders>
            <w:vAlign w:val="center"/>
            <w:hideMark/>
          </w:tcPr>
          <w:p w:rsidR="00BD51BF" w:rsidRPr="00BD51BF" w:rsidRDefault="00BD51BF"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 </w:t>
            </w:r>
          </w:p>
        </w:tc>
        <w:tc>
          <w:tcPr>
            <w:tcW w:w="3431" w:type="dxa"/>
            <w:tcBorders>
              <w:top w:val="nil"/>
              <w:left w:val="nil"/>
              <w:bottom w:val="nil"/>
              <w:right w:val="single" w:sz="4" w:space="0" w:color="auto"/>
            </w:tcBorders>
            <w:vAlign w:val="center"/>
            <w:hideMark/>
          </w:tcPr>
          <w:p w:rsidR="00BD51BF" w:rsidRPr="00BD51BF" w:rsidRDefault="00BD51BF"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ŽP - MZe ČR - lesní hospodář</w:t>
            </w:r>
          </w:p>
        </w:tc>
        <w:tc>
          <w:tcPr>
            <w:tcW w:w="850" w:type="dxa"/>
            <w:tcBorders>
              <w:top w:val="nil"/>
              <w:left w:val="nil"/>
              <w:bottom w:val="nil"/>
              <w:right w:val="single" w:sz="4" w:space="0" w:color="auto"/>
            </w:tcBorders>
            <w:vAlign w:val="center"/>
            <w:hideMark/>
          </w:tcPr>
          <w:p w:rsidR="00BD51BF" w:rsidRPr="00BD51BF" w:rsidRDefault="00BD51BF"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 </w:t>
            </w:r>
          </w:p>
        </w:tc>
        <w:tc>
          <w:tcPr>
            <w:tcW w:w="1134" w:type="dxa"/>
            <w:tcBorders>
              <w:top w:val="nil"/>
              <w:left w:val="nil"/>
              <w:bottom w:val="nil"/>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-22 100</w:t>
            </w:r>
          </w:p>
        </w:tc>
      </w:tr>
      <w:tr w:rsidR="00AE5428" w:rsidRPr="003075B7" w:rsidTr="003075B7">
        <w:trPr>
          <w:trHeight w:val="270"/>
        </w:trPr>
        <w:tc>
          <w:tcPr>
            <w:tcW w:w="0" w:type="auto"/>
            <w:vMerge/>
            <w:tcBorders>
              <w:top w:val="nil"/>
              <w:left w:val="single" w:sz="4" w:space="0" w:color="auto"/>
              <w:bottom w:val="single" w:sz="4" w:space="0" w:color="000000"/>
              <w:right w:val="single" w:sz="4" w:space="0" w:color="auto"/>
            </w:tcBorders>
            <w:vAlign w:val="center"/>
            <w:hideMark/>
          </w:tcPr>
          <w:p w:rsidR="00BD51BF" w:rsidRPr="00BD51BF" w:rsidRDefault="00BD51BF" w:rsidP="00BD51BF">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20</w:t>
            </w:r>
          </w:p>
        </w:tc>
        <w:tc>
          <w:tcPr>
            <w:tcW w:w="0" w:type="auto"/>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22</w:t>
            </w:r>
          </w:p>
        </w:tc>
        <w:tc>
          <w:tcPr>
            <w:tcW w:w="0" w:type="auto"/>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1036</w:t>
            </w:r>
          </w:p>
        </w:tc>
        <w:tc>
          <w:tcPr>
            <w:tcW w:w="0" w:type="auto"/>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5192</w:t>
            </w:r>
          </w:p>
        </w:tc>
        <w:tc>
          <w:tcPr>
            <w:tcW w:w="0" w:type="auto"/>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 </w:t>
            </w:r>
          </w:p>
        </w:tc>
        <w:tc>
          <w:tcPr>
            <w:tcW w:w="0" w:type="auto"/>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 </w:t>
            </w:r>
          </w:p>
        </w:tc>
        <w:tc>
          <w:tcPr>
            <w:tcW w:w="3431" w:type="dxa"/>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ŽP - Lesní hospodář</w:t>
            </w:r>
          </w:p>
        </w:tc>
        <w:tc>
          <w:tcPr>
            <w:tcW w:w="850" w:type="dxa"/>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 </w:t>
            </w:r>
          </w:p>
        </w:tc>
        <w:tc>
          <w:tcPr>
            <w:tcW w:w="1134" w:type="dxa"/>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22 100</w:t>
            </w:r>
          </w:p>
        </w:tc>
      </w:tr>
      <w:tr w:rsidR="00AE5428" w:rsidRPr="003075B7" w:rsidTr="003075B7">
        <w:trPr>
          <w:trHeight w:val="270"/>
        </w:trPr>
        <w:tc>
          <w:tcPr>
            <w:tcW w:w="0" w:type="auto"/>
            <w:vMerge w:val="restart"/>
            <w:tcBorders>
              <w:top w:val="nil"/>
              <w:left w:val="single" w:sz="4" w:space="0" w:color="auto"/>
              <w:bottom w:val="single" w:sz="4" w:space="0" w:color="000000"/>
              <w:right w:val="single" w:sz="4" w:space="0" w:color="auto"/>
            </w:tcBorders>
            <w:vAlign w:val="center"/>
            <w:hideMark/>
          </w:tcPr>
          <w:p w:rsidR="00BD51BF" w:rsidRPr="00BD51BF" w:rsidRDefault="00BD51BF" w:rsidP="00BD51BF">
            <w:pPr>
              <w:spacing w:after="0" w:line="240" w:lineRule="auto"/>
              <w:jc w:val="center"/>
              <w:rPr>
                <w:rFonts w:ascii="Times New Roman" w:eastAsia="Times New Roman" w:hAnsi="Times New Roman" w:cs="Times New Roman"/>
                <w:sz w:val="24"/>
                <w:szCs w:val="24"/>
                <w:lang w:eastAsia="cs-CZ"/>
              </w:rPr>
            </w:pPr>
            <w:r w:rsidRPr="003075B7">
              <w:rPr>
                <w:rFonts w:ascii="Times New Roman" w:eastAsia="Times New Roman" w:hAnsi="Times New Roman" w:cs="Times New Roman"/>
                <w:b/>
                <w:bCs/>
                <w:color w:val="000000"/>
                <w:sz w:val="24"/>
                <w:szCs w:val="24"/>
                <w:lang w:eastAsia="cs-CZ"/>
              </w:rPr>
              <w:t>40</w:t>
            </w:r>
          </w:p>
        </w:tc>
        <w:tc>
          <w:tcPr>
            <w:tcW w:w="0" w:type="auto"/>
            <w:tcBorders>
              <w:top w:val="nil"/>
              <w:left w:val="nil"/>
              <w:bottom w:val="nil"/>
              <w:right w:val="nil"/>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   40</w:t>
            </w:r>
          </w:p>
        </w:tc>
        <w:tc>
          <w:tcPr>
            <w:tcW w:w="0" w:type="auto"/>
            <w:tcBorders>
              <w:top w:val="nil"/>
              <w:left w:val="single" w:sz="4" w:space="0" w:color="auto"/>
              <w:bottom w:val="nil"/>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41</w:t>
            </w:r>
          </w:p>
        </w:tc>
        <w:tc>
          <w:tcPr>
            <w:tcW w:w="0" w:type="auto"/>
            <w:tcBorders>
              <w:top w:val="nil"/>
              <w:left w:val="nil"/>
              <w:bottom w:val="nil"/>
              <w:right w:val="nil"/>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3326</w:t>
            </w:r>
          </w:p>
        </w:tc>
        <w:tc>
          <w:tcPr>
            <w:tcW w:w="0" w:type="auto"/>
            <w:tcBorders>
              <w:top w:val="nil"/>
              <w:left w:val="single" w:sz="4" w:space="0" w:color="auto"/>
              <w:bottom w:val="nil"/>
              <w:right w:val="nil"/>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6127</w:t>
            </w:r>
          </w:p>
        </w:tc>
        <w:tc>
          <w:tcPr>
            <w:tcW w:w="0" w:type="auto"/>
            <w:tcBorders>
              <w:top w:val="nil"/>
              <w:left w:val="single" w:sz="4" w:space="0" w:color="auto"/>
              <w:bottom w:val="nil"/>
              <w:right w:val="nil"/>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558</w:t>
            </w:r>
          </w:p>
        </w:tc>
        <w:tc>
          <w:tcPr>
            <w:tcW w:w="0" w:type="auto"/>
            <w:tcBorders>
              <w:top w:val="nil"/>
              <w:left w:val="single" w:sz="4" w:space="0" w:color="auto"/>
              <w:bottom w:val="nil"/>
              <w:right w:val="single" w:sz="4" w:space="0" w:color="auto"/>
            </w:tcBorders>
            <w:vAlign w:val="center"/>
            <w:hideMark/>
          </w:tcPr>
          <w:p w:rsidR="00BD51BF" w:rsidRPr="00BD51BF" w:rsidRDefault="00BD51BF"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 </w:t>
            </w:r>
          </w:p>
        </w:tc>
        <w:tc>
          <w:tcPr>
            <w:tcW w:w="3431" w:type="dxa"/>
            <w:tcBorders>
              <w:top w:val="nil"/>
              <w:left w:val="nil"/>
              <w:bottom w:val="nil"/>
              <w:right w:val="single" w:sz="4" w:space="0" w:color="auto"/>
            </w:tcBorders>
            <w:vAlign w:val="center"/>
            <w:hideMark/>
          </w:tcPr>
          <w:p w:rsidR="00BD51BF" w:rsidRPr="00BD51BF" w:rsidRDefault="00BD51BF"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IR -  Navýšení  pol. - památník obětem I. a II. sv. války</w:t>
            </w:r>
          </w:p>
        </w:tc>
        <w:tc>
          <w:tcPr>
            <w:tcW w:w="850" w:type="dxa"/>
            <w:tcBorders>
              <w:top w:val="nil"/>
              <w:left w:val="nil"/>
              <w:bottom w:val="nil"/>
              <w:right w:val="single" w:sz="4" w:space="0" w:color="auto"/>
            </w:tcBorders>
            <w:vAlign w:val="center"/>
            <w:hideMark/>
          </w:tcPr>
          <w:p w:rsidR="00BD51BF" w:rsidRPr="00BD51BF" w:rsidRDefault="00BD51BF"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 </w:t>
            </w:r>
          </w:p>
        </w:tc>
        <w:tc>
          <w:tcPr>
            <w:tcW w:w="1134" w:type="dxa"/>
            <w:tcBorders>
              <w:top w:val="nil"/>
              <w:left w:val="nil"/>
              <w:bottom w:val="nil"/>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150 000</w:t>
            </w:r>
          </w:p>
        </w:tc>
      </w:tr>
      <w:tr w:rsidR="00AE5428" w:rsidRPr="003075B7" w:rsidTr="003075B7">
        <w:trPr>
          <w:trHeight w:val="270"/>
        </w:trPr>
        <w:tc>
          <w:tcPr>
            <w:tcW w:w="0" w:type="auto"/>
            <w:vMerge/>
            <w:tcBorders>
              <w:top w:val="nil"/>
              <w:left w:val="single" w:sz="4" w:space="0" w:color="auto"/>
              <w:bottom w:val="single" w:sz="4" w:space="0" w:color="000000"/>
              <w:right w:val="single" w:sz="4" w:space="0" w:color="auto"/>
            </w:tcBorders>
            <w:vAlign w:val="center"/>
            <w:hideMark/>
          </w:tcPr>
          <w:p w:rsidR="00BD51BF" w:rsidRPr="00BD51BF" w:rsidRDefault="00BD51BF" w:rsidP="00BD51BF">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40</w:t>
            </w:r>
          </w:p>
        </w:tc>
        <w:tc>
          <w:tcPr>
            <w:tcW w:w="0" w:type="auto"/>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41</w:t>
            </w:r>
          </w:p>
        </w:tc>
        <w:tc>
          <w:tcPr>
            <w:tcW w:w="0" w:type="auto"/>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3315</w:t>
            </w:r>
          </w:p>
        </w:tc>
        <w:tc>
          <w:tcPr>
            <w:tcW w:w="0" w:type="auto"/>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5171</w:t>
            </w:r>
          </w:p>
        </w:tc>
        <w:tc>
          <w:tcPr>
            <w:tcW w:w="0" w:type="auto"/>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537</w:t>
            </w:r>
          </w:p>
        </w:tc>
        <w:tc>
          <w:tcPr>
            <w:tcW w:w="0" w:type="auto"/>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 </w:t>
            </w:r>
          </w:p>
        </w:tc>
        <w:tc>
          <w:tcPr>
            <w:tcW w:w="3431" w:type="dxa"/>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IR - Snížení pol. - nutné opravy budov a staveb</w:t>
            </w:r>
          </w:p>
        </w:tc>
        <w:tc>
          <w:tcPr>
            <w:tcW w:w="850" w:type="dxa"/>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 </w:t>
            </w:r>
          </w:p>
        </w:tc>
        <w:tc>
          <w:tcPr>
            <w:tcW w:w="1134" w:type="dxa"/>
            <w:tcBorders>
              <w:top w:val="nil"/>
              <w:left w:val="nil"/>
              <w:bottom w:val="single" w:sz="4" w:space="0" w:color="auto"/>
              <w:right w:val="single" w:sz="4" w:space="0" w:color="auto"/>
            </w:tcBorders>
            <w:vAlign w:val="center"/>
            <w:hideMark/>
          </w:tcPr>
          <w:p w:rsidR="00BD51BF" w:rsidRPr="00BD51BF" w:rsidRDefault="00BD51BF"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color w:val="000000"/>
                <w:sz w:val="24"/>
                <w:szCs w:val="24"/>
                <w:lang w:eastAsia="cs-CZ"/>
              </w:rPr>
              <w:t>-150 000</w:t>
            </w:r>
          </w:p>
        </w:tc>
      </w:tr>
      <w:tr w:rsidR="00AE5428" w:rsidRPr="003075B7" w:rsidTr="003075B7">
        <w:trPr>
          <w:trHeight w:val="920"/>
        </w:trPr>
        <w:tc>
          <w:tcPr>
            <w:tcW w:w="0" w:type="auto"/>
            <w:tcBorders>
              <w:top w:val="nil"/>
              <w:left w:val="single" w:sz="4" w:space="0" w:color="auto"/>
              <w:bottom w:val="single" w:sz="4" w:space="0" w:color="000000"/>
              <w:right w:val="single" w:sz="4" w:space="0" w:color="auto"/>
            </w:tcBorders>
            <w:vAlign w:val="center"/>
            <w:hideMark/>
          </w:tcPr>
          <w:p w:rsidR="00AE5428" w:rsidRPr="00BD51BF" w:rsidRDefault="00AE5428" w:rsidP="00BD51BF">
            <w:pPr>
              <w:spacing w:after="0" w:line="240" w:lineRule="auto"/>
              <w:jc w:val="center"/>
              <w:rPr>
                <w:rFonts w:ascii="Times New Roman" w:eastAsia="Times New Roman" w:hAnsi="Times New Roman" w:cs="Times New Roman"/>
                <w:sz w:val="24"/>
                <w:szCs w:val="24"/>
                <w:lang w:eastAsia="cs-CZ"/>
              </w:rPr>
            </w:pPr>
            <w:r w:rsidRPr="003075B7">
              <w:rPr>
                <w:rFonts w:ascii="Times New Roman" w:eastAsia="Times New Roman" w:hAnsi="Times New Roman" w:cs="Times New Roman"/>
                <w:b/>
                <w:bCs/>
                <w:sz w:val="24"/>
                <w:szCs w:val="24"/>
                <w:lang w:eastAsia="cs-CZ"/>
              </w:rPr>
              <w:t>41</w:t>
            </w:r>
          </w:p>
        </w:tc>
        <w:tc>
          <w:tcPr>
            <w:tcW w:w="0" w:type="auto"/>
            <w:tcBorders>
              <w:top w:val="nil"/>
              <w:left w:val="nil"/>
              <w:bottom w:val="single" w:sz="4" w:space="0" w:color="auto"/>
              <w:right w:val="single" w:sz="4" w:space="0" w:color="auto"/>
            </w:tcBorders>
            <w:vAlign w:val="center"/>
            <w:hideMark/>
          </w:tcPr>
          <w:p w:rsidR="00AE5428" w:rsidRPr="003075B7" w:rsidRDefault="00AE5428" w:rsidP="003075B7">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30</w:t>
            </w:r>
          </w:p>
          <w:p w:rsidR="00AE5428" w:rsidRPr="00BD51BF" w:rsidRDefault="00AE5428"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30</w:t>
            </w:r>
          </w:p>
        </w:tc>
        <w:tc>
          <w:tcPr>
            <w:tcW w:w="0" w:type="auto"/>
            <w:tcBorders>
              <w:top w:val="nil"/>
              <w:left w:val="nil"/>
              <w:bottom w:val="single" w:sz="4" w:space="0" w:color="auto"/>
              <w:right w:val="single" w:sz="4" w:space="0" w:color="auto"/>
            </w:tcBorders>
            <w:vAlign w:val="center"/>
            <w:hideMark/>
          </w:tcPr>
          <w:p w:rsidR="00AE5428" w:rsidRPr="003075B7" w:rsidRDefault="00AE5428"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32</w:t>
            </w:r>
          </w:p>
          <w:p w:rsidR="00AE5428" w:rsidRPr="00BD51BF" w:rsidRDefault="00AE5428"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32</w:t>
            </w:r>
          </w:p>
        </w:tc>
        <w:tc>
          <w:tcPr>
            <w:tcW w:w="0" w:type="auto"/>
            <w:tcBorders>
              <w:top w:val="nil"/>
              <w:left w:val="nil"/>
              <w:bottom w:val="single" w:sz="4" w:space="0" w:color="auto"/>
              <w:right w:val="single" w:sz="4" w:space="0" w:color="auto"/>
            </w:tcBorders>
            <w:vAlign w:val="center"/>
            <w:hideMark/>
          </w:tcPr>
          <w:p w:rsidR="00AE5428" w:rsidRPr="003075B7" w:rsidRDefault="00AE5428"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 </w:t>
            </w:r>
          </w:p>
          <w:p w:rsidR="00AE5428" w:rsidRPr="00BD51BF" w:rsidRDefault="00AE5428"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3315</w:t>
            </w:r>
          </w:p>
        </w:tc>
        <w:tc>
          <w:tcPr>
            <w:tcW w:w="0" w:type="auto"/>
            <w:tcBorders>
              <w:top w:val="nil"/>
              <w:left w:val="nil"/>
              <w:bottom w:val="single" w:sz="4" w:space="0" w:color="auto"/>
              <w:right w:val="single" w:sz="4" w:space="0" w:color="auto"/>
            </w:tcBorders>
            <w:vAlign w:val="center"/>
            <w:hideMark/>
          </w:tcPr>
          <w:p w:rsidR="00AE5428" w:rsidRPr="003075B7" w:rsidRDefault="00AE5428"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4216</w:t>
            </w:r>
          </w:p>
          <w:p w:rsidR="00AE5428" w:rsidRPr="00BD51BF" w:rsidRDefault="00AE5428"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6356</w:t>
            </w:r>
          </w:p>
        </w:tc>
        <w:tc>
          <w:tcPr>
            <w:tcW w:w="0" w:type="auto"/>
            <w:tcBorders>
              <w:top w:val="nil"/>
              <w:left w:val="nil"/>
              <w:bottom w:val="single" w:sz="4" w:space="0" w:color="auto"/>
              <w:right w:val="single" w:sz="4" w:space="0" w:color="auto"/>
            </w:tcBorders>
            <w:vAlign w:val="center"/>
            <w:hideMark/>
          </w:tcPr>
          <w:p w:rsidR="00AE5428" w:rsidRPr="003075B7" w:rsidRDefault="00AE5428"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 </w:t>
            </w:r>
          </w:p>
          <w:p w:rsidR="00AE5428" w:rsidRPr="00BD51BF" w:rsidRDefault="00AE5428"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 </w:t>
            </w:r>
          </w:p>
        </w:tc>
        <w:tc>
          <w:tcPr>
            <w:tcW w:w="0" w:type="auto"/>
            <w:tcBorders>
              <w:top w:val="nil"/>
              <w:left w:val="nil"/>
              <w:bottom w:val="single" w:sz="4" w:space="0" w:color="auto"/>
              <w:right w:val="single" w:sz="4" w:space="0" w:color="auto"/>
            </w:tcBorders>
            <w:vAlign w:val="center"/>
            <w:hideMark/>
          </w:tcPr>
          <w:p w:rsidR="00AE5428" w:rsidRPr="003075B7" w:rsidRDefault="00AE5428"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34940</w:t>
            </w:r>
          </w:p>
          <w:p w:rsidR="00AE5428" w:rsidRPr="00BD51BF" w:rsidRDefault="00AE5428"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34940</w:t>
            </w:r>
          </w:p>
        </w:tc>
        <w:tc>
          <w:tcPr>
            <w:tcW w:w="3431" w:type="dxa"/>
            <w:tcBorders>
              <w:top w:val="nil"/>
              <w:left w:val="nil"/>
              <w:bottom w:val="single" w:sz="4" w:space="0" w:color="auto"/>
              <w:right w:val="single" w:sz="4" w:space="0" w:color="auto"/>
            </w:tcBorders>
            <w:vAlign w:val="center"/>
            <w:hideMark/>
          </w:tcPr>
          <w:p w:rsidR="00AE5428" w:rsidRPr="003075B7" w:rsidRDefault="00AE5428"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FO - ZS-A - dotace z MK na kompletní modernizaci EPS ZS-A</w:t>
            </w:r>
          </w:p>
          <w:p w:rsidR="00AE5428" w:rsidRPr="00BD51BF" w:rsidRDefault="00AE5428" w:rsidP="00BD51BF">
            <w:pPr>
              <w:spacing w:after="0" w:line="240" w:lineRule="auto"/>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FO - ZS-A - dotace z MK na kompletní modernizaci EPS ZS-A</w:t>
            </w:r>
          </w:p>
        </w:tc>
        <w:tc>
          <w:tcPr>
            <w:tcW w:w="850" w:type="dxa"/>
            <w:tcBorders>
              <w:top w:val="nil"/>
              <w:left w:val="nil"/>
              <w:bottom w:val="single" w:sz="4" w:space="0" w:color="auto"/>
              <w:right w:val="single" w:sz="4" w:space="0" w:color="auto"/>
            </w:tcBorders>
            <w:vAlign w:val="center"/>
            <w:hideMark/>
          </w:tcPr>
          <w:p w:rsidR="00AE5428" w:rsidRPr="003075B7" w:rsidRDefault="00AE5428"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407 000</w:t>
            </w:r>
          </w:p>
          <w:p w:rsidR="00AE5428" w:rsidRPr="00BD51BF" w:rsidRDefault="00AE5428"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 </w:t>
            </w:r>
          </w:p>
        </w:tc>
        <w:tc>
          <w:tcPr>
            <w:tcW w:w="1134" w:type="dxa"/>
            <w:tcBorders>
              <w:top w:val="nil"/>
              <w:left w:val="nil"/>
              <w:bottom w:val="single" w:sz="4" w:space="0" w:color="auto"/>
              <w:right w:val="single" w:sz="4" w:space="0" w:color="auto"/>
            </w:tcBorders>
            <w:vAlign w:val="center"/>
            <w:hideMark/>
          </w:tcPr>
          <w:p w:rsidR="00AE5428" w:rsidRPr="003075B7" w:rsidRDefault="00AE5428"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 </w:t>
            </w:r>
          </w:p>
          <w:p w:rsidR="00AE5428" w:rsidRPr="00BD51BF" w:rsidRDefault="00AE5428" w:rsidP="00BD51BF">
            <w:pPr>
              <w:spacing w:after="0" w:line="240" w:lineRule="auto"/>
              <w:jc w:val="right"/>
              <w:rPr>
                <w:rFonts w:ascii="Times New Roman" w:eastAsia="Times New Roman" w:hAnsi="Times New Roman" w:cs="Times New Roman"/>
                <w:sz w:val="24"/>
                <w:szCs w:val="24"/>
                <w:lang w:eastAsia="cs-CZ"/>
              </w:rPr>
            </w:pPr>
            <w:r w:rsidRPr="00BD51BF">
              <w:rPr>
                <w:rFonts w:ascii="Times New Roman" w:eastAsia="Times New Roman" w:hAnsi="Times New Roman" w:cs="Times New Roman"/>
                <w:sz w:val="24"/>
                <w:szCs w:val="24"/>
                <w:lang w:eastAsia="cs-CZ"/>
              </w:rPr>
              <w:t>407 000</w:t>
            </w:r>
          </w:p>
        </w:tc>
      </w:tr>
    </w:tbl>
    <w:p w:rsidR="00BD51BF" w:rsidRPr="00BD51BF" w:rsidRDefault="00BD51BF" w:rsidP="00BD51BF">
      <w:pPr>
        <w:spacing w:after="0" w:line="240" w:lineRule="auto"/>
        <w:jc w:val="both"/>
        <w:rPr>
          <w:rFonts w:ascii="Times New Roman" w:eastAsia="Times New Roman" w:hAnsi="Times New Roman" w:cs="Times New Roman"/>
          <w:vanish/>
          <w:sz w:val="24"/>
          <w:szCs w:val="24"/>
          <w:lang w:eastAsia="cs-CZ"/>
        </w:rPr>
      </w:pPr>
      <w:bookmarkStart w:id="0" w:name="_GoBack"/>
      <w:bookmarkEnd w:id="0"/>
    </w:p>
    <w:p w:rsidR="00BD51BF" w:rsidRPr="00BD51BF" w:rsidRDefault="00BD51BF" w:rsidP="00BD51BF">
      <w:pPr>
        <w:spacing w:after="0" w:line="240" w:lineRule="auto"/>
        <w:jc w:val="both"/>
        <w:rPr>
          <w:rFonts w:ascii="Times New Roman" w:eastAsia="Times New Roman" w:hAnsi="Times New Roman" w:cs="Times New Roman"/>
          <w:vanish/>
          <w:sz w:val="24"/>
          <w:szCs w:val="24"/>
          <w:lang w:eastAsia="cs-CZ"/>
        </w:rPr>
      </w:pPr>
    </w:p>
    <w:p w:rsidR="00BD51BF" w:rsidRPr="00BD51BF" w:rsidRDefault="00BD51BF" w:rsidP="00BD51BF">
      <w:pPr>
        <w:spacing w:after="240" w:line="240" w:lineRule="auto"/>
        <w:jc w:val="both"/>
        <w:rPr>
          <w:rFonts w:ascii="Times New Roman" w:eastAsia="Times New Roman" w:hAnsi="Times New Roman" w:cs="Times New Roman"/>
          <w:sz w:val="24"/>
          <w:szCs w:val="24"/>
          <w:lang w:eastAsia="cs-CZ"/>
        </w:rPr>
      </w:pPr>
    </w:p>
    <w:sectPr w:rsidR="00BD51BF" w:rsidRPr="00BD5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1BF"/>
    <w:rsid w:val="003075B7"/>
    <w:rsid w:val="003D1DC0"/>
    <w:rsid w:val="007D4B87"/>
    <w:rsid w:val="00825601"/>
    <w:rsid w:val="00AE5428"/>
    <w:rsid w:val="00BD51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D51BF"/>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D51BF"/>
    <w:rPr>
      <w:b/>
      <w:bCs/>
    </w:rPr>
  </w:style>
  <w:style w:type="character" w:customStyle="1" w:styleId="stavhlasovani1">
    <w:name w:val="stavhlasovani1"/>
    <w:basedOn w:val="Standardnpsmoodstavce"/>
    <w:rsid w:val="00BD51BF"/>
    <w:rPr>
      <w:b/>
      <w:bCs/>
      <w:caps/>
    </w:rPr>
  </w:style>
  <w:style w:type="paragraph" w:styleId="Textbubliny">
    <w:name w:val="Balloon Text"/>
    <w:basedOn w:val="Normln"/>
    <w:link w:val="TextbublinyChar"/>
    <w:uiPriority w:val="99"/>
    <w:semiHidden/>
    <w:unhideWhenUsed/>
    <w:rsid w:val="00BD51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51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D51BF"/>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D51BF"/>
    <w:rPr>
      <w:b/>
      <w:bCs/>
    </w:rPr>
  </w:style>
  <w:style w:type="character" w:customStyle="1" w:styleId="stavhlasovani1">
    <w:name w:val="stavhlasovani1"/>
    <w:basedOn w:val="Standardnpsmoodstavce"/>
    <w:rsid w:val="00BD51BF"/>
    <w:rPr>
      <w:b/>
      <w:bCs/>
      <w:caps/>
    </w:rPr>
  </w:style>
  <w:style w:type="paragraph" w:styleId="Textbubliny">
    <w:name w:val="Balloon Text"/>
    <w:basedOn w:val="Normln"/>
    <w:link w:val="TextbublinyChar"/>
    <w:uiPriority w:val="99"/>
    <w:semiHidden/>
    <w:unhideWhenUsed/>
    <w:rsid w:val="00BD51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D5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6791">
      <w:bodyDiv w:val="1"/>
      <w:marLeft w:val="0"/>
      <w:marRight w:val="0"/>
      <w:marTop w:val="0"/>
      <w:marBottom w:val="0"/>
      <w:divBdr>
        <w:top w:val="none" w:sz="0" w:space="0" w:color="auto"/>
        <w:left w:val="none" w:sz="0" w:space="0" w:color="auto"/>
        <w:bottom w:val="none" w:sz="0" w:space="0" w:color="auto"/>
        <w:right w:val="none" w:sz="0" w:space="0" w:color="auto"/>
      </w:divBdr>
      <w:divsChild>
        <w:div w:id="1154566465">
          <w:marLeft w:val="0"/>
          <w:marRight w:val="0"/>
          <w:marTop w:val="216"/>
          <w:marBottom w:val="0"/>
          <w:divBdr>
            <w:top w:val="none" w:sz="0" w:space="0" w:color="auto"/>
            <w:left w:val="none" w:sz="0" w:space="0" w:color="auto"/>
            <w:bottom w:val="none" w:sz="0" w:space="0" w:color="auto"/>
            <w:right w:val="none" w:sz="0" w:space="0" w:color="auto"/>
          </w:divBdr>
        </w:div>
        <w:div w:id="1773042908">
          <w:marLeft w:val="0"/>
          <w:marRight w:val="0"/>
          <w:marTop w:val="384"/>
          <w:marBottom w:val="0"/>
          <w:divBdr>
            <w:top w:val="none" w:sz="0" w:space="0" w:color="auto"/>
            <w:left w:val="none" w:sz="0" w:space="0" w:color="auto"/>
            <w:bottom w:val="none" w:sz="0" w:space="0" w:color="auto"/>
            <w:right w:val="none" w:sz="0" w:space="0" w:color="auto"/>
          </w:divBdr>
        </w:div>
        <w:div w:id="1133987419">
          <w:marLeft w:val="0"/>
          <w:marRight w:val="0"/>
          <w:marTop w:val="216"/>
          <w:marBottom w:val="0"/>
          <w:divBdr>
            <w:top w:val="none" w:sz="0" w:space="0" w:color="auto"/>
            <w:left w:val="none" w:sz="0" w:space="0" w:color="auto"/>
            <w:bottom w:val="none" w:sz="0" w:space="0" w:color="auto"/>
            <w:right w:val="none" w:sz="0" w:space="0" w:color="auto"/>
          </w:divBdr>
        </w:div>
        <w:div w:id="703749113">
          <w:marLeft w:val="0"/>
          <w:marRight w:val="0"/>
          <w:marTop w:val="384"/>
          <w:marBottom w:val="0"/>
          <w:divBdr>
            <w:top w:val="none" w:sz="0" w:space="0" w:color="auto"/>
            <w:left w:val="none" w:sz="0" w:space="0" w:color="auto"/>
            <w:bottom w:val="none" w:sz="0" w:space="0" w:color="auto"/>
            <w:right w:val="none" w:sz="0" w:space="0" w:color="auto"/>
          </w:divBdr>
        </w:div>
        <w:div w:id="138963704">
          <w:marLeft w:val="0"/>
          <w:marRight w:val="0"/>
          <w:marTop w:val="384"/>
          <w:marBottom w:val="0"/>
          <w:divBdr>
            <w:top w:val="none" w:sz="0" w:space="0" w:color="auto"/>
            <w:left w:val="none" w:sz="0" w:space="0" w:color="auto"/>
            <w:bottom w:val="none" w:sz="0" w:space="0" w:color="auto"/>
            <w:right w:val="none" w:sz="0" w:space="0" w:color="auto"/>
          </w:divBdr>
        </w:div>
        <w:div w:id="480464251">
          <w:marLeft w:val="5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2520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2018-06-25T14:42:00Z</dcterms:created>
  <dcterms:modified xsi:type="dcterms:W3CDTF">2018-06-25T14:49:00Z</dcterms:modified>
</cp:coreProperties>
</file>