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79" w:rsidRDefault="004A19C1">
      <w:pPr>
        <w:spacing w:after="60"/>
        <w:jc w:val="center"/>
      </w:pPr>
      <w:bookmarkStart w:id="0" w:name="document_fragment_onrf6mrqgayf6mrugmwtcm"/>
      <w:r>
        <w:rPr>
          <w:rFonts w:ascii="Calibri" w:hAnsi="Calibri"/>
          <w:b/>
          <w:color w:val="444444"/>
          <w:sz w:val="20"/>
        </w:rPr>
        <w:t>243/2000</w:t>
      </w:r>
      <w:bookmarkStart w:id="1" w:name="_GoBack"/>
      <w:bookmarkEnd w:id="1"/>
    </w:p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ZÁKON</w:t>
      </w:r>
    </w:p>
    <w:p w:rsidR="00747579" w:rsidRDefault="004A19C1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29. června 2000</w:t>
      </w:r>
    </w:p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o rozpočtovém určení výnosů některých daní územním samosprávným celkům a některým státním fondům</w:t>
      </w:r>
    </w:p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(zákon o rozpočtovém určení daní)</w:t>
      </w:r>
    </w:p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Parlament se usnesl na tomto zákoně České republiky:</w:t>
      </w:r>
    </w:p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2" w:name="pf1"/>
      <w:r>
        <w:rPr>
          <w:rFonts w:ascii="Calibri" w:hAnsi="Calibri"/>
          <w:b/>
          <w:color w:val="BA3347"/>
          <w:sz w:val="20"/>
        </w:rPr>
        <w:t>§ 1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Předmět úpravy</w:t>
      </w:r>
    </w:p>
    <w:bookmarkEnd w:id="2"/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Tento </w:t>
      </w:r>
      <w:r>
        <w:rPr>
          <w:rFonts w:ascii="Calibri" w:hAnsi="Calibri"/>
          <w:color w:val="444444"/>
          <w:sz w:val="20"/>
        </w:rPr>
        <w:t>zákon upravuje rozpočtové určení daně z přidané hodnoty, daní spotřebních, daní z příjmů, daně z nemovitých věcí a daně silniční.</w:t>
      </w:r>
    </w:p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3" w:name="pf2"/>
      <w:r>
        <w:rPr>
          <w:rFonts w:ascii="Calibri" w:hAnsi="Calibri"/>
          <w:b/>
          <w:color w:val="BA3347"/>
          <w:sz w:val="20"/>
        </w:rPr>
        <w:t>§ 2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Základní pojmy</w:t>
      </w:r>
    </w:p>
    <w:bookmarkEnd w:id="3"/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Pro účely tohoto zákona se rozumí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6"/>
        <w:gridCol w:w="874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celostátním hrubým výnosem daně peněžní prostředky vybrané v průběhu </w:t>
            </w:r>
            <w:r>
              <w:rPr>
                <w:rFonts w:ascii="Calibri" w:hAnsi="Calibri"/>
                <w:color w:val="444444"/>
              </w:rPr>
              <w:t>rozpočtového roku</w:t>
            </w:r>
            <w:r>
              <w:rPr>
                <w:rFonts w:ascii="Calibri" w:hAnsi="Calibri"/>
                <w:color w:val="444444"/>
              </w:rPr>
              <w:t>1</w:t>
            </w:r>
            <w:r>
              <w:rPr>
                <w:rFonts w:ascii="Calibri" w:hAnsi="Calibri"/>
                <w:color w:val="444444"/>
              </w:rPr>
              <w:t xml:space="preserve"> správcem daně, snížené o vrácené prostředky; do celostátního hrubého výnosu daně se nezahrnují částky vybrané na pokutách a částky použité na úhradu nákladů daňového řízení,</w:t>
            </w:r>
            <w:r>
              <w:rPr>
                <w:rFonts w:ascii="Calibri" w:hAnsi="Calibri"/>
                <w:color w:val="444444"/>
              </w:rPr>
              <w:t>1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výnosem část hrubého výnosu daně podle písmene a) zaevidov</w:t>
            </w:r>
            <w:r>
              <w:rPr>
                <w:rFonts w:ascii="Calibri" w:hAnsi="Calibri"/>
                <w:color w:val="444444"/>
              </w:rPr>
              <w:t>aná na splatnou daň,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příjemcem obec, kraj, Státní fond dopravní infrastruktury,</w:t>
            </w:r>
            <w:r>
              <w:rPr>
                <w:rFonts w:ascii="Calibri" w:hAnsi="Calibri"/>
                <w:color w:val="444444"/>
              </w:rPr>
              <w:t>4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částkou určenou k převodu rozdíl mezi daňovým příjmem příjemce a částí daňového příjmu převedenou příjemci celkově od počátku rozpočtového roku.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4" w:name="pf3"/>
      <w:r>
        <w:rPr>
          <w:rFonts w:ascii="Calibri" w:hAnsi="Calibri"/>
          <w:b/>
          <w:color w:val="BA3347"/>
          <w:sz w:val="20"/>
        </w:rPr>
        <w:t>§ 3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Daňové příjmy </w:t>
      </w:r>
      <w:r>
        <w:rPr>
          <w:rFonts w:ascii="Calibri" w:hAnsi="Calibri"/>
          <w:b/>
          <w:color w:val="000000"/>
        </w:rPr>
        <w:t>rozpočtů krajů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Daňové příjmy rozpočtů jednotlivých krajů tvoří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3"/>
              <w:gridCol w:w="8335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daň z příjmů právnických osob v případech, kdy poplatníkem je příslušný kraj, s výjimkou daně vybírané srážkou podle zvláštní sazby,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8,92 % z celostátního hrubého výnosu dan</w:t>
                  </w:r>
                  <w:r>
                    <w:rPr>
                      <w:rFonts w:ascii="Calibri" w:hAnsi="Calibri"/>
                      <w:color w:val="444444"/>
                    </w:rPr>
                    <w:t>ě z přidané hodnoty,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8,92 % z celostátního hrubého výnosu daně (záloh na daň) z příjmů fyzických osob ze závislé činnosti, odváděné zaměstnavatelem jako plátcem daně, s výjimkou daně z příjmů fyzických osob vybírané srážkou podle zvláštní sazb</w:t>
                  </w:r>
                  <w:r>
                    <w:rPr>
                      <w:rFonts w:ascii="Calibri" w:hAnsi="Calibri"/>
                      <w:color w:val="444444"/>
                    </w:rPr>
                    <w:t>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8,92 % z celostátního hrubého výnosu daně z příjmů fyzických osob vybírané srážkou podle zvláštní sazby,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8,92</w:t>
                  </w:r>
                  <w:r>
                    <w:rPr>
                      <w:rFonts w:ascii="Calibri" w:hAnsi="Calibri"/>
                      <w:color w:val="444444"/>
                    </w:rPr>
                    <w:t xml:space="preserve"> % z 60 % z celostátního hrubého výnosu daně (záloh na daň) z příjmů fyzických osob sníženého o výnosy uvedené v písmenech c) a d),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8,92 % z celostátního hrubého výnosu daně z příjmů právnických osob, s výjimkou výnosů uvedených v písmenu a) a</w:t>
                  </w:r>
                  <w:r>
                    <w:rPr>
                      <w:rFonts w:ascii="Calibri" w:hAnsi="Calibri"/>
                      <w:color w:val="444444"/>
                    </w:rPr>
                    <w:t> v § 4 odst. 1 písm. g).</w:t>
                  </w:r>
                </w:p>
              </w:tc>
            </w:tr>
          </w:tbl>
          <w:p w:rsidR="00747579" w:rsidRDefault="00747579"/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kraj se na procentní části celostátního hrubého výnosu daně podle odstavce 1 písm. b) až f) podílí procentem stanoveným v příloze č. 1 k tomuto zákonu.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Součástí daňového příjmu podle odstavce 1 písm. a) není </w:t>
            </w:r>
            <w:r>
              <w:rPr>
                <w:rFonts w:ascii="Calibri" w:hAnsi="Calibri"/>
                <w:color w:val="444444"/>
              </w:rPr>
              <w:t>úhrada rozdílu mezi daní vyměřenou nebo dodatečně vyměřenou kraji správcem daně a daní krajem přiznanou nebo dodatečně přiznanou ani příslušenství daně.</w:t>
            </w:r>
            <w:r>
              <w:rPr>
                <w:rFonts w:ascii="Calibri" w:hAnsi="Calibri"/>
                <w:color w:val="444444"/>
              </w:rPr>
              <w:t>4a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5" w:name="pf4"/>
      <w:r>
        <w:rPr>
          <w:rFonts w:ascii="Calibri" w:hAnsi="Calibri"/>
          <w:b/>
          <w:color w:val="BA3347"/>
          <w:sz w:val="20"/>
        </w:rPr>
        <w:t>§ 4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Daňové příjmy rozpočtů obcí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12"/>
        <w:gridCol w:w="8645"/>
      </w:tblGrid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Daňové příjmy rozpočtů obcí tvoří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3"/>
              <w:gridCol w:w="8257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výnos daně z nemovitých vě</w:t>
                  </w:r>
                  <w:r>
                    <w:rPr>
                      <w:rFonts w:ascii="Calibri" w:hAnsi="Calibri"/>
                      <w:color w:val="444444"/>
                    </w:rPr>
                    <w:t>cí; příjemcem je ta obec, na jejímž území se nemovitost nachází,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23,58 % z celostátního hrubého výnosu daně z přidané hodnoty,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23,58</w:t>
                  </w:r>
                  <w:r>
                    <w:rPr>
                      <w:rFonts w:ascii="Calibri" w:hAnsi="Calibri"/>
                      <w:color w:val="444444"/>
                    </w:rPr>
                    <w:t xml:space="preserve"> % z celostátního hrubého výnosu daně (záloh na daň) z příjmů fyzických osob ze závislé činnosti, odváděné zaměstnavatelem jako plátcem daně podle </w:t>
                  </w:r>
                  <w:hyperlink r:id="rId5">
                    <w:r>
                      <w:rPr>
                        <w:rFonts w:ascii="Calibri" w:hAnsi="Calibri"/>
                        <w:color w:val="853536"/>
                      </w:rPr>
                      <w:t>zákona o dan</w:t>
                    </w:r>
                    <w:r>
                      <w:rPr>
                        <w:rFonts w:ascii="Calibri" w:hAnsi="Calibri"/>
                        <w:color w:val="853536"/>
                      </w:rPr>
                      <w:t>ích z příjmů</w:t>
                    </w:r>
                  </w:hyperlink>
                  <w:r>
                    <w:rPr>
                      <w:rFonts w:ascii="Calibri" w:hAnsi="Calibri"/>
                      <w:color w:val="444444"/>
                    </w:rPr>
                    <w:t>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23,58 % z celostátního hrubého výnosu daně (záloh na daň) z příjmů fyzických osob vybírané srážkou podle zvláštní sazby, s výjimkou výnosů uvedených pod písmenem c),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podíl na 23,58 % z 60 % z celostátního hrubého výnosu daně </w:t>
                  </w:r>
                  <w:r>
                    <w:rPr>
                      <w:rFonts w:ascii="Calibri" w:hAnsi="Calibri"/>
                      <w:color w:val="444444"/>
                    </w:rPr>
                    <w:t>(záloh na daň) z příjmů fyzických osob sníženého o výnosy uvedené v písmenech c) a d).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23,58 % z celostátního hrubého výnosu daně z příjmů právnických osob, s výjimkou výnosů uvedených v písmenu h) a v § 3 odst. 1 písm. a),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g)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daň z příjmů pr</w:t>
                  </w:r>
                  <w:r>
                    <w:rPr>
                      <w:rFonts w:ascii="Calibri" w:hAnsi="Calibri"/>
                      <w:color w:val="444444"/>
                    </w:rPr>
                    <w:t>ávnických osob v případech, kdy poplatníkem je příslušná obec, s výjimkou daně vybírané srážkou podle zvláštní sazby,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h)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podíl na 1,5 % z celostátního hrubého výnosu daně (záloh na daň) z příjmů fyzických osob ze závislé činnosti, odváděné zaměstnavatelem</w:t>
                  </w:r>
                  <w:r>
                    <w:rPr>
                      <w:rFonts w:ascii="Calibri" w:hAnsi="Calibri"/>
                      <w:color w:val="444444"/>
                    </w:rPr>
                    <w:t xml:space="preserve"> jako plátcem daně z příjmů, s výjimkou daně z příjmů fyzických osob vybírané srážkou podle zvláštní sazby․</w:t>
                  </w:r>
                </w:p>
              </w:tc>
            </w:tr>
          </w:tbl>
          <w:p w:rsidR="00747579" w:rsidRDefault="00747579"/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Procento, kterým se obce s výjimkou hlavního města Prahy, Plzně, Ostravy a Brna (dále jen „ostatní obce“) podílejí na procentní části celostá</w:t>
            </w:r>
            <w:r>
              <w:rPr>
                <w:rFonts w:ascii="Calibri" w:hAnsi="Calibri"/>
                <w:color w:val="444444"/>
              </w:rPr>
              <w:t>tního hrubého výnosu daní podle odstavce 1 písm. b) až f), se vypočte jako součet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255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poměru započtené výměry katastrálních území obce (odstavec 7) k celkově započtené výměře katastrálních území všech obcí, vyjádřeného v procentech a násobeného koeficientem</w:t>
                  </w:r>
                  <w:r>
                    <w:rPr>
                      <w:rFonts w:ascii="Calibri" w:hAnsi="Calibri"/>
                      <w:color w:val="444444"/>
                    </w:rPr>
                    <w:t xml:space="preserve"> 0,03,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poměru počtu obyvatel obce k počtu obyvatel všech obcí vyjádřeného v procentech a násobeného koeficientem 0,10,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poměru počtu dětí a žáků navštěvujících školu zřizovanou obcí k počtu těchto dětí a žáků za všechny obce, vyjádřeného </w:t>
                  </w:r>
                  <w:r>
                    <w:rPr>
                      <w:rFonts w:ascii="Calibri" w:hAnsi="Calibri"/>
                      <w:color w:val="444444"/>
                    </w:rPr>
                    <w:t>v procentech a násobeného koeficientem 0,09,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poměru násobku postupných přechodů, vypočteného pro obec pomocí koeficientů postupných přechodů, k součtu násobků postupných přechodů vypočtených za ostatní </w:t>
                  </w:r>
                  <w:r>
                    <w:rPr>
                      <w:rFonts w:ascii="Calibri" w:hAnsi="Calibri"/>
                      <w:color w:val="444444"/>
                    </w:rPr>
                    <w:lastRenderedPageBreak/>
                    <w:t>obce, vyjádřeného v procentech a násobeného koefic</w:t>
                  </w:r>
                  <w:r>
                    <w:rPr>
                      <w:rFonts w:ascii="Calibri" w:hAnsi="Calibri"/>
                      <w:color w:val="444444"/>
                    </w:rPr>
                    <w:t>ientem 0,78 a dále násobeného celkovým procentem, kterým se na část celostátního hrubého výnosu daní podle odstavce 1 písm. b) až f) podílejí ostatní obce, toto celkové procento se vypočte způsobem uvedeným v odstavci 4.</w:t>
                  </w:r>
                </w:p>
              </w:tc>
            </w:tr>
          </w:tbl>
          <w:p w:rsidR="00747579" w:rsidRDefault="00747579"/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(3)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Koeficienty postupných </w:t>
            </w:r>
            <w:r>
              <w:rPr>
                <w:rFonts w:ascii="Calibri" w:hAnsi="Calibri"/>
                <w:color w:val="444444"/>
              </w:rPr>
              <w:t>přechodů a násobky postupných přechodů [odstavec 2 písm. c)] jsou uvedeny v příloze č. 2 k tomuto zákonu.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Celkové procento, kterým se ostatní obce podílejí na části celostátního hrubého výnosu daní podle odstavce 1 písm. b) až f), se stanoví pomocí zl</w:t>
            </w:r>
            <w:r>
              <w:rPr>
                <w:rFonts w:ascii="Calibri" w:hAnsi="Calibri"/>
                <w:color w:val="444444"/>
              </w:rPr>
              <w:t>omku, v jehož čitateli se uvede násobek přepočítacího koeficientu pro ostatní obce uvedený v příloze č. 3 k tomuto zákonu a celkového počtu obyvatel ostatních obcí, a ve jmenovateli součet násobků příslušných přepočítacích koeficientů uvedených v příloze č</w:t>
            </w:r>
            <w:r>
              <w:rPr>
                <w:rFonts w:ascii="Calibri" w:hAnsi="Calibri"/>
                <w:color w:val="444444"/>
              </w:rPr>
              <w:t>. 3 k tomuto zákonu a počtu obyvatel připadajících na hlavní město Prahu, Plzeň, Ostravu, Brno a na ostatní obce.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Procento, kterým se hlavní město Praha, Plzeň, Ostrava a Brno podílejí na procentní části celostátního hrubého výnosu daní podle odstavce</w:t>
            </w:r>
            <w:r>
              <w:rPr>
                <w:rFonts w:ascii="Calibri" w:hAnsi="Calibri"/>
                <w:color w:val="444444"/>
              </w:rPr>
              <w:t xml:space="preserve"> 1 písm. b) až f), se vypočte jako součet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256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poměru započtené výměry katastrálních území obce (odstavec 7) k celkově započtené výměře katastrálních území všech obcí, vyjádřeného v procentech a násobeného koeficientem 0,03,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poměru počtu obyvatel obce </w:t>
                  </w:r>
                  <w:r>
                    <w:rPr>
                      <w:rFonts w:ascii="Calibri" w:hAnsi="Calibri"/>
                      <w:color w:val="444444"/>
                    </w:rPr>
                    <w:t>k počtu obyvatel všech obcí, vyjádřeného v procentech a násobeného koeficientem 0,10,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poměru počtu dětí a žáků navštěvujících školu zřizovanou obcí k počtu těchto dětí a žáků za všechny obce, vyjádřeného v procentech a násobeného koeficientem 0,09,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poměru násobku příslušného přepočítacího koeficientu uvedeného v příloze č. 3 k tomuto zákonu a připadajícího na hlavní město Prahu, Plzeň, Ostravu nebo Brno a počtu obyvatel hlavního města Prahy, Plzně, Ostravy nebo Brna k součtu násobků příslušných přep</w:t>
                  </w:r>
                  <w:r>
                    <w:rPr>
                      <w:rFonts w:ascii="Calibri" w:hAnsi="Calibri"/>
                      <w:color w:val="444444"/>
                    </w:rPr>
                    <w:t>očítacích koeficientů uvedených v příloze č. 3 k tomuto zákonu a počtu obyvatel připadajících na hlavní město Prahu, Plzeň, Ostravu, Brno a na ostatní obce, vyjádřeného v procentech a násobeného koeficientem 0,78.</w:t>
                  </w:r>
                </w:p>
              </w:tc>
            </w:tr>
          </w:tbl>
          <w:p w:rsidR="00747579" w:rsidRDefault="00747579"/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Při stanovení počtu obyvatel obce </w:t>
            </w:r>
            <w:r>
              <w:rPr>
                <w:rFonts w:ascii="Calibri" w:hAnsi="Calibri"/>
                <w:color w:val="444444"/>
              </w:rPr>
              <w:t>pro účely propočtů podle odstavců 2 až 5 a odstavce 7 se vychází ze stavu k 1. lednu běžného roku uvedeného v bilanci obyvatel České republiky zpracované Českým statistickým úřadem k 1. lednu běžného roku.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(7)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Započtenou výměrou katastrálních území obce p</w:t>
            </w:r>
            <w:r>
              <w:rPr>
                <w:rFonts w:ascii="Calibri" w:hAnsi="Calibri"/>
                <w:color w:val="444444"/>
              </w:rPr>
              <w:t>ro účely propočtů podle odstavců 2 až 5 se rozumí výměra, která vychází z údajů Českého úřadu zeměměřického a katastrálního k 1. lednu běžného roku, maximálně však výměra 10 ha na každého obyvatele obce.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(8)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Při stanovení počtu dětí a žáků se pro účely pr</w:t>
            </w:r>
            <w:r>
              <w:rPr>
                <w:rFonts w:ascii="Calibri" w:hAnsi="Calibri"/>
                <w:color w:val="444444"/>
              </w:rPr>
              <w:t xml:space="preserve">opočtů podle odstavců 2 až 5 vychází z dokumentace škol vedené podle </w:t>
            </w:r>
            <w:hyperlink r:id="rId6">
              <w:r>
                <w:rPr>
                  <w:rFonts w:ascii="Calibri" w:hAnsi="Calibri"/>
                  <w:color w:val="853536"/>
                </w:rPr>
                <w:t>školského zákona</w:t>
              </w:r>
            </w:hyperlink>
            <w:r>
              <w:rPr>
                <w:rFonts w:ascii="Calibri" w:hAnsi="Calibri"/>
                <w:color w:val="444444"/>
              </w:rPr>
              <w:t>, a to ze stavu k 30. září roku, který bezprostředně předchází běžnému rok</w:t>
            </w:r>
            <w:r>
              <w:rPr>
                <w:rFonts w:ascii="Calibri" w:hAnsi="Calibri"/>
                <w:color w:val="444444"/>
              </w:rPr>
              <w:t>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(9)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Pro účely propočtu podle odstavců 2 až 5 se počtem dětí rozumí počet dětí účastnících se předškolního vzdělávání a počtem žáků se rozumí počet žáků plnících povinnou školní docházku.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(10)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Součástí daňového příjmu podle odstavce 1 písm. g) není úhr</w:t>
            </w:r>
            <w:r>
              <w:rPr>
                <w:rFonts w:ascii="Calibri" w:hAnsi="Calibri"/>
                <w:color w:val="444444"/>
              </w:rPr>
              <w:t xml:space="preserve">ada rozdílu mezi daní vyměřenou </w:t>
            </w:r>
            <w:r>
              <w:rPr>
                <w:rFonts w:ascii="Calibri" w:hAnsi="Calibri"/>
                <w:color w:val="444444"/>
              </w:rPr>
              <w:lastRenderedPageBreak/>
              <w:t>nebo dodatečně vyměřenou obci správcem daně a daní obcí přiznanou nebo dodatečně přiznanou ani příslušenství daně.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445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(11)</w:t>
            </w:r>
          </w:p>
        </w:tc>
        <w:tc>
          <w:tcPr>
            <w:tcW w:w="12509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Ministerstvo financí stanoví vyhláškou vydanou na základě údajů zpracovaných Českým statistickým úřadem</w:t>
            </w:r>
            <w:r>
              <w:rPr>
                <w:rFonts w:ascii="Calibri" w:hAnsi="Calibri"/>
                <w:color w:val="444444"/>
              </w:rPr>
              <w:t>, Českým úřadem zeměměřickým a katastrálním a Ministerstvem školství, mládeže a tělovýchovy, vždy s účinností od 1. září běžného roku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256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celkové procento, kterým se ostatní obce podílejí na části celostátního hrubého výnosu daní podle odstavce 1 písm. b) </w:t>
                  </w:r>
                  <w:r>
                    <w:rPr>
                      <w:rFonts w:ascii="Calibri" w:hAnsi="Calibri"/>
                      <w:color w:val="444444"/>
                    </w:rPr>
                    <w:t>až f),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procento, kterým se jednotlivé obce podílejí na procentní části celostátního hrubého výnosu daní podle odstavce 1 písm. b) až f),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049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procento, kterým se jednotlivé obce podílejí na výnosu daně podle odstavce 1 písm. h), stanovené v závislosti n</w:t>
                  </w:r>
                  <w:r>
                    <w:rPr>
                      <w:rFonts w:ascii="Calibri" w:hAnsi="Calibri"/>
                      <w:color w:val="444444"/>
                    </w:rPr>
                    <w:t>a poměru počtu zaměstnanců v obci, vykázanému v příloze k vyúčtování daně z příjmů ze závislé činnosti, k celkovému počtu zaměstnanců takto vykázaných v České republice, a to podle stavu k 1. prosinci bezprostředně předcházejícího kalendářního roku.</w:t>
                  </w:r>
                </w:p>
              </w:tc>
            </w:tr>
          </w:tbl>
          <w:p w:rsidR="00747579" w:rsidRDefault="00747579"/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6" w:name="pf5"/>
      <w:r>
        <w:rPr>
          <w:rFonts w:ascii="Calibri" w:hAnsi="Calibri"/>
          <w:b/>
          <w:color w:val="BA3347"/>
          <w:sz w:val="20"/>
        </w:rPr>
        <w:t>§ 5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Daňové příjmy Státního fondu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dopravní infrastruktury</w:t>
      </w:r>
    </w:p>
    <w:bookmarkEnd w:id="6"/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Daňové příjmy Státního fondu dopravní infrastruktury tvoří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celostátní hrubý výnos daně silniční,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9,1 % celostátního hrubého výnosu spotřební daně z minerálních olejů.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7" w:name="pf6"/>
      <w:r>
        <w:rPr>
          <w:rFonts w:ascii="Calibri" w:hAnsi="Calibri"/>
          <w:b/>
          <w:color w:val="BA3347"/>
          <w:sz w:val="20"/>
        </w:rPr>
        <w:t>§ 6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Převod daňových </w:t>
      </w:r>
      <w:r>
        <w:rPr>
          <w:rFonts w:ascii="Calibri" w:hAnsi="Calibri"/>
          <w:b/>
          <w:color w:val="000000"/>
        </w:rPr>
        <w:t>příjmů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Správce daně převádí daňový příjem určený příjemci nejméně jedenkrát měsíčně, je-li částka určená k převodu vyšší než 500 Kč. 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Částku určenou k převodu v posledním měsíci rozpočtového roku převede správce daně příjemci, i když tato částka n</w:t>
            </w:r>
            <w:r>
              <w:rPr>
                <w:rFonts w:ascii="Calibri" w:hAnsi="Calibri"/>
                <w:color w:val="444444"/>
              </w:rPr>
              <w:t>epřesahuje 500 Kč, tak, aby bylo možno využít i nejzazšího termínu k provádění platebního styku stanoveného bankou, která vede účty správce daně, a tato částka byla připsána na účet příjemce v témže rozpočtovém roce. Částku určenou k převodu v posledním mě</w:t>
            </w:r>
            <w:r>
              <w:rPr>
                <w:rFonts w:ascii="Calibri" w:hAnsi="Calibri"/>
                <w:color w:val="444444"/>
              </w:rPr>
              <w:t>síci rozpočtového roku, která již nemohla být z časových důvodů připsána na účet příjemce v témže rozpočtovém roce, převede správce daně na účet příjemce neprodleně po skončení rozpočtového roku jako operaci následujícího rozpočtového roku.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Pokud správce daně spravuje daně, které nejsou příjmem státního rozpočtu a u kterých příjemcům nevzniká nárok ve formě podílu na celostátním hrubém výnosu daně, převede výnos těchto daní podle tohoto zákona jejich příjemcům nejpozději do 1 měsíce ode dne, </w:t>
            </w:r>
            <w:r>
              <w:rPr>
                <w:rFonts w:ascii="Calibri" w:hAnsi="Calibri"/>
                <w:color w:val="444444"/>
              </w:rPr>
              <w:t>kdy tyto prostředky byly zaevidovány na osobním účtu daňového subjektu na jeho splatnou daň.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 období od počátku rozpočtového roku do nabytí účinnosti vyhlášky podle § 4 odst. 11 pro tento rozpočtový rok se při převodu použijí procenta stanovená platn</w:t>
            </w:r>
            <w:r>
              <w:rPr>
                <w:rFonts w:ascii="Calibri" w:hAnsi="Calibri"/>
                <w:color w:val="444444"/>
              </w:rPr>
              <w:t>ou vyhláškou. Celkové částky převedené příjemcům v uvedeném období se zúčtují s následujícími převody daňových příjmů.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Podle odstavců 1 a 2 postupuje správce daně obdobně u převádění daňových příjmů neuvedených v § 1, které jsou určeny příjemcům podle</w:t>
            </w:r>
            <w:r>
              <w:rPr>
                <w:rFonts w:ascii="Calibri" w:hAnsi="Calibri"/>
                <w:color w:val="444444"/>
              </w:rPr>
              <w:t xml:space="preserve"> zvláštních zákonů.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Daňové příjmy vybrané poslední pracovní den rozpočtového roku, které již nelze z časových důvodů v tomto roce převést na účty oprávněným příjemcům, budou z účtů státního rozpočtu před uzavřením výsledků hospodaření státního rozpočt</w:t>
            </w:r>
            <w:r>
              <w:rPr>
                <w:rFonts w:ascii="Calibri" w:hAnsi="Calibri"/>
                <w:color w:val="444444"/>
              </w:rPr>
              <w:t>u Českou národní bankou vyčleněny a po roztřídění do příslušných druhů daní převedeny na účty oprávněných příjemců do 10 pracovních dnů následujícího rozpočtového roku.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8" w:name="pf6a"/>
      <w:r>
        <w:rPr>
          <w:rFonts w:ascii="Calibri" w:hAnsi="Calibri"/>
          <w:b/>
          <w:color w:val="BA3347"/>
          <w:sz w:val="20"/>
        </w:rPr>
        <w:t>§ 6a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Pozastavení převodu podílu na výnosu daní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Nesníží-li územní samosprávný </w:t>
            </w:r>
            <w:r>
              <w:rPr>
                <w:rFonts w:ascii="Calibri" w:hAnsi="Calibri"/>
                <w:color w:val="444444"/>
              </w:rPr>
              <w:t>celek svůj dluh podle zákona o pravidlech rozpočtové odpovědnosti a jeho dluh k následujícímu rozvahovému dni převyšuje 60 % průměru jeho příjmů za poslední 4 rozpočtové roky, Ministerstvo financí v následujícím kalendářním roce rozhodne o pozastavení přev</w:t>
            </w:r>
            <w:r>
              <w:rPr>
                <w:rFonts w:ascii="Calibri" w:hAnsi="Calibri"/>
                <w:color w:val="444444"/>
              </w:rPr>
              <w:t>odu jeho podílu na výnosu daní ve výši 5 % z rozdílu mezi dosaženým dluhem a 60 % průměru jeho příjmů za poslední 4 rozpočtové roky.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Pozastaven může být převod podílu územního samosprávného celku na výnosu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6"/>
              <w:gridCol w:w="8330"/>
            </w:tblGrid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daně z přidané hodnoty,</w:t>
                  </w:r>
                </w:p>
              </w:tc>
            </w:tr>
            <w:tr w:rsidR="00747579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747579" w:rsidRDefault="004A19C1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747579" w:rsidRDefault="004A19C1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daní z příjmů </w:t>
                  </w:r>
                  <w:r>
                    <w:rPr>
                      <w:rFonts w:ascii="Calibri" w:hAnsi="Calibri"/>
                      <w:color w:val="444444"/>
                    </w:rPr>
                    <w:t>právnických osob, s výjimkou daně z příjmů právnických osob, jejímž poplatníkem je příslušný územní samosprávný celek.</w:t>
                  </w:r>
                </w:p>
              </w:tc>
            </w:tr>
          </w:tbl>
          <w:p w:rsidR="00747579" w:rsidRDefault="00747579"/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Správce daně na základě rozhodnutí Ministerstva financí nepřevede podíl územního samosprávného celku na výnosu daní do výše uveden</w:t>
            </w:r>
            <w:r>
              <w:rPr>
                <w:rFonts w:ascii="Calibri" w:hAnsi="Calibri"/>
                <w:color w:val="444444"/>
              </w:rPr>
              <w:t>é v rozhodnutí.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9" w:name="pf6b"/>
      <w:r>
        <w:rPr>
          <w:rFonts w:ascii="Calibri" w:hAnsi="Calibri"/>
          <w:b/>
          <w:color w:val="BA3347"/>
          <w:sz w:val="20"/>
        </w:rPr>
        <w:t>§ 6b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Zrušení pozastavení převodu podílu z moci úřední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9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Nepřevyšuje-li dluh územního samosprávného celku, jemuž byl pozastaven převod podílu na výnosu daní, k následujícímu rozvahovému dni 60 % průměru jeho příjmů za poslední 4 </w:t>
            </w:r>
            <w:r>
              <w:rPr>
                <w:rFonts w:ascii="Calibri" w:hAnsi="Calibri"/>
                <w:color w:val="444444"/>
              </w:rPr>
              <w:t>rozpočtové roky, Ministerstvo financí rozhodne o zrušení pozastavení převodu podílu na výnosu daní.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Správce daně převede podíl na výnosu daní, jehož pozastavení převodu bylo zrušeno, územnímu samosprávnému celku do 14 dnů ode dne, kdy obdržel rozhodnu</w:t>
            </w:r>
            <w:r>
              <w:rPr>
                <w:rFonts w:ascii="Calibri" w:hAnsi="Calibri"/>
                <w:color w:val="444444"/>
              </w:rPr>
              <w:t>tí Ministerstva financí o zrušení pozastavení převodu podílu na výnosu daní.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10" w:name="pf6c"/>
      <w:r>
        <w:rPr>
          <w:rFonts w:ascii="Calibri" w:hAnsi="Calibri"/>
          <w:b/>
          <w:color w:val="BA3347"/>
          <w:sz w:val="20"/>
        </w:rPr>
        <w:t>§ 6c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Zrušení pozastavení převodu podílu na žádost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Územní samosprávný celek může požádat Ministerstvo financí o zrušení pozastavení převodu podílu na výnosu daní k uhrazení s</w:t>
            </w:r>
            <w:r>
              <w:rPr>
                <w:rFonts w:ascii="Calibri" w:hAnsi="Calibri"/>
                <w:color w:val="444444"/>
              </w:rPr>
              <w:t>vého dluhu vzniklého do konce rozpočtového roku, v němž dluh územního samosprávného celku převýšil 60 % průměru jeho příjmů za poslední 4 rozpočtové roky.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Územní samosprávný celek v žádosti uvede výši podílu na výnosu daně, o jehož zrušení pozastavení</w:t>
            </w:r>
            <w:r>
              <w:rPr>
                <w:rFonts w:ascii="Calibri" w:hAnsi="Calibri"/>
                <w:color w:val="444444"/>
              </w:rPr>
              <w:t xml:space="preserve"> převodu žádá, a dluh, k jehož úhradě bude použit.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Ministerstvo financí v rozhodnutí uvede výši podílu na výnosu daně, jehož pozastavení převodu se zrušuje, a dluh, na jehož úhradu je podíl určen.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11" w:name="pf6d"/>
      <w:r>
        <w:rPr>
          <w:rFonts w:ascii="Calibri" w:hAnsi="Calibri"/>
          <w:b/>
          <w:color w:val="BA3347"/>
          <w:sz w:val="20"/>
        </w:rPr>
        <w:t>§ 6d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Převod podílu po zrušení pozastavení na žádost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"/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Správce daně převede podíl na výnosu daní územnímu samosprávnému celku do 14 dnů ode dne, kdy obdržel rozhodnutí o žádosti o zrušení pozastavení převodu podílu.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Územní samosprávný celek použije převedený podíl na výnosu daní na úhradu dluhu </w:t>
            </w:r>
            <w:r>
              <w:rPr>
                <w:rFonts w:ascii="Calibri" w:hAnsi="Calibri"/>
                <w:color w:val="444444"/>
              </w:rPr>
              <w:t>uvedeného v rozhodnutí do 90 dnů od připsání na jeho účet.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Územní samosprávný celek účtuje o převedeném podílu odděleně.</w:t>
            </w:r>
          </w:p>
        </w:tc>
      </w:tr>
    </w:tbl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(4) Nepoužije-li územní samosprávný celek podíl na výnosu daní převedený podle odstavce 1 na úhradu dluhu uvedeného v rozhodnutí </w:t>
      </w:r>
      <w:r>
        <w:rPr>
          <w:rFonts w:ascii="Calibri" w:hAnsi="Calibri"/>
          <w:color w:val="444444"/>
          <w:sz w:val="20"/>
        </w:rPr>
        <w:t>do 90 dnů ode dne jejich připsání na svůj účet, Ministerstvo financí rozhodne o dalším pozastavení podílu územního samosprávného celku na výnosu daní ve výši peněžních prostředků, které nebyly použity na úhradu dluhu.</w:t>
      </w:r>
    </w:p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0"/>
        <w:jc w:val="center"/>
      </w:pPr>
      <w:bookmarkStart w:id="12" w:name="pf7"/>
      <w:r>
        <w:rPr>
          <w:rFonts w:ascii="Calibri" w:hAnsi="Calibri"/>
          <w:b/>
          <w:color w:val="BA3347"/>
          <w:sz w:val="20"/>
        </w:rPr>
        <w:t>§ 7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Ustanovení přechodná</w:t>
      </w:r>
    </w:p>
    <w:bookmarkEnd w:id="12"/>
    <w:p w:rsidR="00747579" w:rsidRDefault="004A19C1">
      <w:pPr>
        <w:spacing w:after="60"/>
        <w:jc w:val="both"/>
      </w:pPr>
      <w:r>
        <w:rPr>
          <w:rFonts w:ascii="Calibri" w:hAnsi="Calibri"/>
          <w:i/>
          <w:color w:val="444444"/>
          <w:sz w:val="16"/>
        </w:rPr>
        <w:t>Zákonem č. </w:t>
      </w:r>
      <w:hyperlink r:id="rId7">
        <w:r>
          <w:rPr>
            <w:rFonts w:ascii="Calibri" w:hAnsi="Calibri"/>
            <w:i/>
            <w:color w:val="853536"/>
            <w:sz w:val="16"/>
          </w:rPr>
          <w:t>458/2011 Sb.</w:t>
        </w:r>
      </w:hyperlink>
      <w:r>
        <w:rPr>
          <w:rFonts w:ascii="Calibri" w:hAnsi="Calibri"/>
          <w:i/>
          <w:color w:val="444444"/>
          <w:sz w:val="16"/>
        </w:rPr>
        <w:t xml:space="preserve"> se s účinností ode dne 1. ledna 2015 v nadpisu přílohy č. 1 slova „až f)“ nahrazují slovy „ , d) a f) a celostátního výnosu daně podle § 3 odst. 1 </w:t>
      </w:r>
      <w:r>
        <w:rPr>
          <w:rFonts w:ascii="Calibri" w:hAnsi="Calibri"/>
          <w:i/>
          <w:color w:val="444444"/>
          <w:sz w:val="16"/>
        </w:rPr>
        <w:t>písm. c) a e)“. Podle našeho názoru zákonodárce opomněl provést stejnou změnu v ustanovení § 7 odst. 2.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Daňové příjmy, na které vznikl obcím nárok podle dosavadních právních předpisů a které nebyly převedeny do 31. prosince 2000, se převedou do rozpočt</w:t>
            </w:r>
            <w:r>
              <w:rPr>
                <w:rFonts w:ascii="Calibri" w:hAnsi="Calibri"/>
                <w:color w:val="444444"/>
              </w:rPr>
              <w:t>ů obcí podle dosavadních právních předpisů.</w:t>
            </w:r>
          </w:p>
        </w:tc>
      </w:tr>
      <w:tr w:rsidR="00747579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Procento, kterým se každá obec podílí na uvedené procentní části celostátního hrubého výnosu podle § 4 odst. 1 písm. b) až f) zveřejní Ministerstvo financí vyhláškou poprvé s účinností od 1. ledna 2001 </w:t>
            </w:r>
            <w:r>
              <w:rPr>
                <w:rFonts w:ascii="Calibri" w:hAnsi="Calibri"/>
                <w:color w:val="444444"/>
              </w:rPr>
              <w:t>poměrem násobku počtu obyvatel obce podle bilance počtu obyvatel České republiky k 1. lednu 2000 a koeficientu velikostní kategorie obce k součtu těchto násobků všech obcí v České republice.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3" w:name="document_fragment_onrf6mrqgayf6mrugmxhaz"/>
    </w:p>
    <w:p w:rsidR="00747579" w:rsidRDefault="004A19C1">
      <w:pPr>
        <w:spacing w:after="0"/>
        <w:jc w:val="center"/>
      </w:pPr>
      <w:bookmarkStart w:id="14" w:name="pf8"/>
      <w:r>
        <w:rPr>
          <w:rFonts w:ascii="Calibri" w:hAnsi="Calibri"/>
          <w:b/>
          <w:color w:val="BA3347"/>
          <w:sz w:val="20"/>
        </w:rPr>
        <w:t>§ 8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Účinnost</w:t>
      </w:r>
    </w:p>
    <w:bookmarkEnd w:id="14"/>
    <w:p w:rsidR="00747579" w:rsidRDefault="004A19C1">
      <w:pPr>
        <w:spacing w:after="60"/>
        <w:jc w:val="both"/>
      </w:pPr>
      <w:r>
        <w:rPr>
          <w:rFonts w:ascii="Calibri" w:hAnsi="Calibri"/>
          <w:color w:val="444444"/>
          <w:sz w:val="20"/>
        </w:rPr>
        <w:t>Tento zákon nabývá účinnosti dnem 1. ledna 2001.</w:t>
      </w:r>
    </w:p>
    <w:bookmarkEnd w:id="13"/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</w:rPr>
        <w:t>K</w:t>
      </w:r>
      <w:r>
        <w:rPr>
          <w:rFonts w:ascii="Calibri" w:hAnsi="Calibri"/>
          <w:b/>
          <w:color w:val="444444"/>
        </w:rPr>
        <w:t>laus</w:t>
      </w:r>
      <w:r>
        <w:rPr>
          <w:rFonts w:ascii="Calibri" w:hAnsi="Calibri"/>
          <w:color w:val="444444"/>
        </w:rPr>
        <w:t xml:space="preserve"> v. r.</w:t>
      </w:r>
    </w:p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</w:rPr>
        <w:t>Havel</w:t>
      </w:r>
      <w:r>
        <w:rPr>
          <w:rFonts w:ascii="Calibri" w:hAnsi="Calibri"/>
          <w:color w:val="444444"/>
        </w:rPr>
        <w:t xml:space="preserve"> v. r.</w:t>
      </w:r>
    </w:p>
    <w:p w:rsidR="00747579" w:rsidRDefault="004A19C1">
      <w:pPr>
        <w:spacing w:after="60"/>
        <w:jc w:val="center"/>
      </w:pPr>
      <w:r>
        <w:rPr>
          <w:rFonts w:ascii="Calibri" w:hAnsi="Calibri"/>
          <w:b/>
          <w:color w:val="444444"/>
        </w:rPr>
        <w:t>Zeman</w:t>
      </w:r>
      <w:r>
        <w:rPr>
          <w:rFonts w:ascii="Calibri" w:hAnsi="Calibri"/>
          <w:color w:val="444444"/>
        </w:rPr>
        <w:t xml:space="preserve"> v. r.</w:t>
      </w:r>
    </w:p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75"/>
        <w:jc w:val="right"/>
      </w:pPr>
      <w:bookmarkStart w:id="15" w:name="pr1"/>
      <w:r>
        <w:rPr>
          <w:rFonts w:ascii="Calibri" w:hAnsi="Calibri"/>
          <w:b/>
          <w:color w:val="BA3347"/>
          <w:sz w:val="20"/>
        </w:rPr>
        <w:t>Příloha č. 1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Procenta,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kterými se jednotlivé kraje podílejí na procentní části celostátního hrubého výnosu daně podle § 3 odst. 1 písm. b) až f)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72"/>
        <w:gridCol w:w="3805"/>
      </w:tblGrid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bookmarkEnd w:id="15"/>
          <w:p w:rsidR="00747579" w:rsidRDefault="004A19C1">
            <w:pPr>
              <w:spacing w:after="60"/>
            </w:pPr>
            <w:r>
              <w:rPr>
                <w:rFonts w:ascii="Calibri" w:hAnsi="Calibri"/>
                <w:b/>
                <w:color w:val="444444"/>
              </w:rPr>
              <w:t>Kraj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b/>
                <w:color w:val="444444"/>
              </w:rPr>
              <w:t>Procento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Hlavní město Praha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3,183684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Středočeský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13,774311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Jihočeský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8,607201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Plzeňský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7,248716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Karlovarský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3,772990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Ústecký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8,242502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Liberecký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4,681207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Královéhradecký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6,442233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Pardubický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5,555168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Vysočina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7,338590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Jihomoravský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9,526055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Olomoucký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6,751705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Zlínský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5,251503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Moravskoslezský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9,624135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7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Úhrn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100,000000.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747579" w:rsidRDefault="004A19C1">
      <w:pPr>
        <w:spacing w:after="75"/>
        <w:jc w:val="right"/>
      </w:pPr>
      <w:bookmarkStart w:id="16" w:name="pr2"/>
      <w:r>
        <w:rPr>
          <w:rFonts w:ascii="Calibri" w:hAnsi="Calibri"/>
          <w:b/>
          <w:color w:val="BA3347"/>
          <w:sz w:val="20"/>
        </w:rPr>
        <w:t>Příloha č. 2</w:t>
      </w:r>
    </w:p>
    <w:p w:rsidR="00747579" w:rsidRDefault="004A19C1">
      <w:pPr>
        <w:spacing w:after="0"/>
        <w:jc w:val="center"/>
      </w:pPr>
      <w:r>
        <w:rPr>
          <w:rFonts w:ascii="Calibri" w:hAnsi="Calibri"/>
          <w:b/>
          <w:color w:val="000000"/>
        </w:rPr>
        <w:t>Koeficienty a násobky postupných přechodů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86"/>
        <w:gridCol w:w="3148"/>
        <w:gridCol w:w="1543"/>
      </w:tblGrid>
      <w:tr w:rsidR="00747579">
        <w:trPr>
          <w:trHeight w:val="45"/>
          <w:tblCellSpacing w:w="0" w:type="auto"/>
        </w:trPr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bookmarkEnd w:id="16"/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Obce s počtem obyvatel od -do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Koeficient postupných přechodů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Násobek postupných přechodů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0-50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1,0000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1,0000 x počet obyvatel obce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51-2000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1,0700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 xml:space="preserve">50 + 1.0700 x počet obyvatel z počtu </w:t>
            </w:r>
            <w:r>
              <w:rPr>
                <w:rFonts w:ascii="Calibri" w:hAnsi="Calibri"/>
                <w:color w:val="444444"/>
              </w:rPr>
              <w:t>obyvatel obce přesahujících 50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2001-30 000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1,1523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2 136,5 + 1,1523 x počet obyvatel z počtu obyvatel obce přesahujících 2000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30 001–a více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1,3663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34 400,9 + 1,3663 x počet obyvatel z počtu obyvatel obce přesahujících 30 000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7" w:name="document_fragment_onrf6mrqgayf6mrugmxha4"/>
    </w:p>
    <w:p w:rsidR="00747579" w:rsidRDefault="004A19C1">
      <w:pPr>
        <w:spacing w:after="75"/>
        <w:jc w:val="right"/>
      </w:pPr>
      <w:bookmarkStart w:id="18" w:name="pr3"/>
      <w:r>
        <w:rPr>
          <w:rFonts w:ascii="Calibri" w:hAnsi="Calibri"/>
          <w:b/>
          <w:color w:val="BA3347"/>
          <w:sz w:val="20"/>
        </w:rPr>
        <w:t>Příloha č. 3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869"/>
        <w:gridCol w:w="1308"/>
      </w:tblGrid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bookmarkEnd w:id="18"/>
          <w:p w:rsidR="00747579" w:rsidRDefault="004A19C1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 xml:space="preserve">Přepočítací </w:t>
            </w:r>
            <w:r>
              <w:rPr>
                <w:rFonts w:ascii="Calibri" w:hAnsi="Calibri"/>
                <w:color w:val="444444"/>
              </w:rPr>
              <w:t>koeficient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Hlavní město Praha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4,0641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Plzeň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2,2961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Ostrava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2,2961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Brno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2,2961</w:t>
            </w:r>
          </w:p>
        </w:tc>
      </w:tr>
      <w:tr w:rsidR="00747579">
        <w:trPr>
          <w:trHeight w:val="45"/>
          <w:tblCellSpacing w:w="0" w:type="auto"/>
        </w:trPr>
        <w:tc>
          <w:tcPr>
            <w:tcW w:w="1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</w:pPr>
            <w:r>
              <w:rPr>
                <w:rFonts w:ascii="Calibri" w:hAnsi="Calibri"/>
                <w:color w:val="444444"/>
              </w:rPr>
              <w:t>Ostatní obce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47579" w:rsidRDefault="004A19C1">
            <w:pPr>
              <w:spacing w:after="60"/>
              <w:jc w:val="center"/>
            </w:pPr>
            <w:r>
              <w:rPr>
                <w:rFonts w:ascii="Calibri" w:hAnsi="Calibri"/>
                <w:color w:val="444444"/>
              </w:rPr>
              <w:t>1,0000</w:t>
            </w:r>
          </w:p>
        </w:tc>
      </w:tr>
    </w:tbl>
    <w:p w:rsidR="00747579" w:rsidRDefault="00747579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9" w:name="document_fragment_onrf6mrqgayf6mrugmxha5"/>
      <w:bookmarkEnd w:id="17"/>
    </w:p>
    <w:p w:rsidR="00747579" w:rsidRDefault="004A19C1">
      <w:pPr>
        <w:pBdr>
          <w:bottom w:val="none" w:sz="0" w:space="11" w:color="auto"/>
        </w:pBdr>
        <w:spacing w:after="0"/>
      </w:pPr>
      <w:r>
        <w:rPr>
          <w:rFonts w:ascii="Calibri" w:hAnsi="Calibri"/>
          <w:b/>
          <w:color w:val="000000"/>
        </w:rPr>
        <w:t>Přechodná ustanovení novel:</w:t>
      </w:r>
    </w:p>
    <w:tbl>
      <w:tblPr>
        <w:tblW w:w="0" w:type="auto"/>
        <w:tblCellSpacing w:w="20" w:type="dxa"/>
        <w:tblInd w:w="4221" w:type="dxa"/>
        <w:tblLook w:val="04A0" w:firstRow="1" w:lastRow="0" w:firstColumn="1" w:lastColumn="0" w:noHBand="0" w:noVBand="1"/>
      </w:tblPr>
      <w:tblGrid>
        <w:gridCol w:w="272"/>
        <w:gridCol w:w="40"/>
        <w:gridCol w:w="1401"/>
        <w:gridCol w:w="1181"/>
        <w:gridCol w:w="2082"/>
      </w:tblGrid>
      <w:tr w:rsidR="00747579">
        <w:trPr>
          <w:gridBefore w:val="2"/>
          <w:gridAfter w:val="1"/>
          <w:wAfter w:w="4162" w:type="dxa"/>
          <w:trHeight w:val="90"/>
          <w:tblCellSpacing w:w="20" w:type="dxa"/>
        </w:trPr>
        <w:tc>
          <w:tcPr>
            <w:tcW w:w="298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47579" w:rsidRDefault="00747579">
            <w:pPr>
              <w:spacing w:after="60"/>
              <w:jc w:val="both"/>
            </w:pPr>
          </w:p>
        </w:tc>
        <w:tc>
          <w:tcPr>
            <w:tcW w:w="1488" w:type="dxa"/>
            <w:tcMar>
              <w:top w:w="45" w:type="dxa"/>
              <w:left w:w="300" w:type="dxa"/>
              <w:bottom w:w="45" w:type="dxa"/>
              <w:right w:w="45" w:type="dxa"/>
            </w:tcMar>
          </w:tcPr>
          <w:p w:rsidR="00747579" w:rsidRDefault="004A19C1">
            <w:pPr>
              <w:spacing w:after="0"/>
              <w:jc w:val="right"/>
            </w:pPr>
            <w:r>
              <w:rPr>
                <w:rFonts w:ascii="Calibri" w:hAnsi="Calibri"/>
                <w:b/>
                <w:color w:val="000000"/>
                <w:sz w:val="20"/>
              </w:rPr>
              <w:t>účinné od</w:t>
            </w:r>
          </w:p>
        </w:tc>
      </w:tr>
      <w:tr w:rsidR="00747579">
        <w:trPr>
          <w:gridBefore w:val="2"/>
          <w:gridAfter w:val="1"/>
          <w:wAfter w:w="4162" w:type="dxa"/>
          <w:trHeight w:val="30"/>
          <w:tblCellSpacing w:w="20" w:type="dxa"/>
        </w:trPr>
        <w:tc>
          <w:tcPr>
            <w:tcW w:w="2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hyperlink r:id="rId8">
              <w:r>
                <w:rPr>
                  <w:rFonts w:ascii="Calibri" w:hAnsi="Calibri"/>
                  <w:color w:val="853536"/>
                  <w:sz w:val="20"/>
                </w:rPr>
                <w:t xml:space="preserve">Čl. II </w:t>
              </w:r>
              <w:r>
                <w:rPr>
                  <w:rFonts w:ascii="Calibri" w:hAnsi="Calibri"/>
                  <w:color w:val="853536"/>
                  <w:sz w:val="20"/>
                </w:rPr>
                <w:t>zákona č. 260/2017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1.1.2018</w:t>
            </w:r>
          </w:p>
        </w:tc>
      </w:tr>
      <w:tr w:rsidR="00747579">
        <w:trPr>
          <w:gridBefore w:val="2"/>
          <w:gridAfter w:val="1"/>
          <w:wAfter w:w="4162" w:type="dxa"/>
          <w:trHeight w:val="30"/>
          <w:tblCellSpacing w:w="20" w:type="dxa"/>
        </w:trPr>
        <w:tc>
          <w:tcPr>
            <w:tcW w:w="2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hyperlink r:id="rId9">
              <w:r>
                <w:rPr>
                  <w:rFonts w:ascii="Calibri" w:hAnsi="Calibri"/>
                  <w:color w:val="853536"/>
                  <w:sz w:val="20"/>
                </w:rPr>
                <w:t>Čl. II. zákona č. 391/2015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1.1.2017</w:t>
            </w:r>
          </w:p>
        </w:tc>
      </w:tr>
      <w:tr w:rsidR="00747579">
        <w:trPr>
          <w:gridBefore w:val="2"/>
          <w:gridAfter w:val="1"/>
          <w:wAfter w:w="4162" w:type="dxa"/>
          <w:trHeight w:val="30"/>
          <w:tblCellSpacing w:w="20" w:type="dxa"/>
        </w:trPr>
        <w:tc>
          <w:tcPr>
            <w:tcW w:w="2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hyperlink r:id="rId10">
              <w:r>
                <w:rPr>
                  <w:rFonts w:ascii="Calibri" w:hAnsi="Calibri"/>
                  <w:color w:val="853536"/>
                  <w:sz w:val="20"/>
                </w:rPr>
                <w:t>Čl. II. zákona č. 391/2015 Sb.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0"/>
              <w:jc w:val="right"/>
            </w:pPr>
            <w:r>
              <w:rPr>
                <w:rFonts w:ascii="Calibri" w:hAnsi="Calibri"/>
                <w:color w:val="000000"/>
                <w:sz w:val="20"/>
              </w:rPr>
              <w:t>1.1.2016</w:t>
            </w:r>
          </w:p>
        </w:tc>
      </w:tr>
      <w:tr w:rsidR="00747579">
        <w:trPr>
          <w:gridBefore w:val="2"/>
          <w:gridAfter w:val="1"/>
          <w:wAfter w:w="4162" w:type="dxa"/>
          <w:trHeight w:val="30"/>
          <w:tblCellSpacing w:w="20" w:type="dxa"/>
        </w:trPr>
        <w:tc>
          <w:tcPr>
            <w:tcW w:w="29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79" w:rsidRDefault="004A19C1">
            <w:pPr>
              <w:spacing w:after="60"/>
              <w:jc w:val="right"/>
            </w:pPr>
            <w:bookmarkStart w:id="20" w:name="spanPuVice"/>
            <w:r>
              <w:rPr>
                <w:rFonts w:ascii="Calibri" w:hAnsi="Calibri"/>
                <w:color w:val="873737"/>
              </w:rPr>
              <w:t>Více...</w:t>
            </w:r>
          </w:p>
        </w:tc>
        <w:bookmarkEnd w:id="20"/>
        <w:tc>
          <w:tcPr>
            <w:tcW w:w="1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79" w:rsidRDefault="00747579">
            <w:pPr>
              <w:spacing w:after="60"/>
              <w:jc w:val="both"/>
            </w:pPr>
          </w:p>
        </w:tc>
      </w:tr>
      <w:bookmarkEnd w:id="19"/>
      <w:bookmarkEnd w:id="0"/>
      <w:tr w:rsidR="00747579">
        <w:tblPrEx>
          <w:tblBorders>
            <w:top w:val="dotted" w:sz="8" w:space="0" w:color="808080"/>
          </w:tblBorders>
        </w:tblPrEx>
        <w:trPr>
          <w:trHeight w:val="90"/>
          <w:tblCellSpacing w:w="20" w:type="dxa"/>
        </w:trPr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b/>
                <w:color w:val="000000"/>
                <w:sz w:val="20"/>
              </w:rPr>
              <w:t>Poznámky pod čarou:</w:t>
            </w:r>
          </w:p>
        </w:tc>
      </w:tr>
      <w:tr w:rsidR="00747579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</w:t>
            </w:r>
          </w:p>
        </w:tc>
        <w:bookmarkStart w:id="21" w:name="footnote_display_content_d1e684"/>
        <w:tc>
          <w:tcPr>
            <w:tcW w:w="1263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"http://www.beck-online.cz/bo/document-view.seam?documentId=onrf6mrqgayf6mrrhaxhazrs"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2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zákona č. 218/2000 Sb., o rozpočtových pravidlech </w:t>
            </w:r>
            <w:r>
              <w:rPr>
                <w:rFonts w:ascii="Calibri" w:hAnsi="Calibri"/>
                <w:color w:val="000000"/>
                <w:sz w:val="16"/>
              </w:rPr>
              <w:t>a o změně některých souvisejících zákonů (</w:t>
            </w:r>
            <w:hyperlink r:id="rId11">
              <w:r>
                <w:rPr>
                  <w:rFonts w:ascii="Calibri" w:hAnsi="Calibri"/>
                  <w:color w:val="853536"/>
                  <w:sz w:val="16"/>
                </w:rPr>
                <w:t>rozpočtová pravidla</w:t>
              </w:r>
            </w:hyperlink>
            <w:r>
              <w:rPr>
                <w:rFonts w:ascii="Calibri" w:hAnsi="Calibri"/>
                <w:color w:val="000000"/>
                <w:sz w:val="16"/>
              </w:rPr>
              <w:t>).</w:t>
            </w:r>
          </w:p>
        </w:tc>
        <w:bookmarkEnd w:id="21"/>
      </w:tr>
      <w:tr w:rsidR="00747579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4</w:t>
            </w:r>
          </w:p>
        </w:tc>
        <w:tc>
          <w:tcPr>
            <w:tcW w:w="1263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pBdr>
                <w:left w:val="none" w:sz="0" w:space="8" w:color="auto"/>
              </w:pBdr>
              <w:spacing w:after="0"/>
            </w:pPr>
            <w:bookmarkStart w:id="22" w:name="footnote_display_content_d1e728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12">
              <w:r>
                <w:rPr>
                  <w:rFonts w:ascii="Calibri" w:hAnsi="Calibri"/>
                  <w:color w:val="853536"/>
                  <w:sz w:val="16"/>
                </w:rPr>
                <w:t>104/2000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Státním fondu dopravní infrastruktury a o změně zákona č. </w:t>
            </w:r>
            <w:hyperlink r:id="rId13">
              <w:r>
                <w:rPr>
                  <w:rFonts w:ascii="Calibri" w:hAnsi="Calibri"/>
                  <w:color w:val="853536"/>
                  <w:sz w:val="16"/>
                </w:rPr>
                <w:t>171/1991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, o působnosti orgánů České republiky ve věcech převodů </w:t>
            </w:r>
            <w:r>
              <w:rPr>
                <w:rFonts w:ascii="Calibri" w:hAnsi="Calibri"/>
                <w:color w:val="000000"/>
                <w:sz w:val="16"/>
              </w:rPr>
              <w:t>majetku státu na jiné osoby a o Fondu národního majetku České republiky, ve znění pozdějších předpisů.</w:t>
            </w:r>
          </w:p>
        </w:tc>
        <w:bookmarkEnd w:id="22"/>
      </w:tr>
      <w:tr w:rsidR="00747579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2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4a</w:t>
            </w:r>
          </w:p>
        </w:tc>
        <w:bookmarkStart w:id="23" w:name="footnote_display_content_d1e993"/>
        <w:tc>
          <w:tcPr>
            <w:tcW w:w="1263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579" w:rsidRDefault="004A19C1">
            <w:pPr>
              <w:pBdr>
                <w:left w:val="none" w:sz="0" w:space="8" w:color="auto"/>
              </w:pBdr>
              <w:spacing w:after="0"/>
            </w:pPr>
            <w:r>
              <w:fldChar w:fldCharType="begin"/>
            </w:r>
            <w:r>
              <w:instrText xml:space="preserve"> HYPERLINK "http://www.beck-online.cz/bo/document-view.seam?documentId=onrf6mjzhezf6mztg4xhazrvha" \h </w:instrText>
            </w:r>
            <w:r>
              <w:fldChar w:fldCharType="separate"/>
            </w:r>
            <w:r>
              <w:rPr>
                <w:rFonts w:ascii="Calibri" w:hAnsi="Calibri"/>
                <w:color w:val="853536"/>
                <w:sz w:val="16"/>
              </w:rPr>
              <w:t>§ 58</w:t>
            </w:r>
            <w:r>
              <w:rPr>
                <w:rFonts w:ascii="Calibri" w:hAnsi="Calibri"/>
                <w:color w:val="853536"/>
                <w:sz w:val="16"/>
              </w:rPr>
              <w:fldChar w:fldCharType="end"/>
            </w:r>
            <w:r>
              <w:rPr>
                <w:rFonts w:ascii="Calibri" w:hAnsi="Calibri"/>
                <w:color w:val="000000"/>
                <w:sz w:val="16"/>
              </w:rPr>
              <w:t xml:space="preserve"> zákona č. 337/1992 Sb., ve znění pozděj</w:t>
            </w:r>
            <w:r>
              <w:rPr>
                <w:rFonts w:ascii="Calibri" w:hAnsi="Calibri"/>
                <w:color w:val="000000"/>
                <w:sz w:val="16"/>
              </w:rPr>
              <w:t>ších předpisů.</w:t>
            </w:r>
          </w:p>
        </w:tc>
        <w:bookmarkEnd w:id="23"/>
      </w:tr>
    </w:tbl>
    <w:p w:rsidR="00000000" w:rsidRDefault="004A19C1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79"/>
    <w:rsid w:val="004A19C1"/>
    <w:rsid w:val="007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rqge3v6mrwgaxgg3bs" TargetMode="External"/><Relationship Id="rId13" Type="http://schemas.openxmlformats.org/officeDocument/2006/relationships/hyperlink" Target="http://www.beck-online.cz/bo/document-view.seam?documentId=onrf6mjzheyv6mjx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k-online.cz/bo/document-view.seam?documentId=onrf6mrqgeyv6nbvha" TargetMode="External"/><Relationship Id="rId12" Type="http://schemas.openxmlformats.org/officeDocument/2006/relationships/hyperlink" Target="http://www.beck-online.cz/bo/document-view.seam?documentId=onrf6mrqgayf6mjq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ck-online.cz/bo/document-view.seam?documentId=onrf6mrqga2f6njwge" TargetMode="External"/><Relationship Id="rId11" Type="http://schemas.openxmlformats.org/officeDocument/2006/relationships/hyperlink" Target="http://www.beck-online.cz/bo/document-view.seam?documentId=onrf6mrqgayf6mrrha" TargetMode="External"/><Relationship Id="rId5" Type="http://schemas.openxmlformats.org/officeDocument/2006/relationships/hyperlink" Target="http://www.beck-online.cz/bo/document-view.seam?documentId=onrf6mjzhezf6njyg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ck-online.cz/bo/document-view.seam?documentId=onrf6mrqge2v6mzzgexgg3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e2v6mzzgexgg3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2518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2018-10-29T15:08:00Z</dcterms:created>
  <dcterms:modified xsi:type="dcterms:W3CDTF">2018-10-29T15:08:00Z</dcterms:modified>
</cp:coreProperties>
</file>