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6EB" w:rsidRDefault="009646EB">
      <w:pPr>
        <w:pBdr>
          <w:top w:val="none" w:sz="0" w:space="4" w:color="auto"/>
          <w:right w:val="none" w:sz="0" w:space="4" w:color="auto"/>
        </w:pBdr>
        <w:spacing w:after="0"/>
        <w:jc w:val="right"/>
      </w:pPr>
      <w:bookmarkStart w:id="0" w:name="document_fragment_onrf6mjzheyf6njwguwtem"/>
    </w:p>
    <w:p w:rsidR="009646EB" w:rsidRDefault="00D85644">
      <w:pPr>
        <w:spacing w:after="60"/>
        <w:jc w:val="center"/>
      </w:pPr>
      <w:r>
        <w:rPr>
          <w:rFonts w:ascii="Calibri" w:hAnsi="Calibri"/>
          <w:b/>
          <w:color w:val="444444"/>
          <w:sz w:val="20"/>
        </w:rPr>
        <w:t>565/1990</w:t>
      </w:r>
      <w:bookmarkStart w:id="1" w:name="_GoBack"/>
      <w:bookmarkEnd w:id="1"/>
    </w:p>
    <w:p w:rsidR="009646EB" w:rsidRDefault="00D85644">
      <w:pPr>
        <w:spacing w:after="60"/>
        <w:jc w:val="both"/>
      </w:pPr>
      <w:r>
        <w:rPr>
          <w:rFonts w:ascii="Calibri" w:hAnsi="Calibri"/>
          <w:color w:val="444444"/>
          <w:sz w:val="20"/>
        </w:rPr>
        <w:t> </w:t>
      </w:r>
    </w:p>
    <w:p w:rsidR="009646EB" w:rsidRDefault="00D85644">
      <w:pPr>
        <w:spacing w:after="60"/>
        <w:jc w:val="center"/>
      </w:pPr>
      <w:r>
        <w:rPr>
          <w:rFonts w:ascii="Calibri" w:hAnsi="Calibri"/>
          <w:b/>
          <w:color w:val="444444"/>
          <w:sz w:val="20"/>
        </w:rPr>
        <w:t>ZÁKON</w:t>
      </w:r>
    </w:p>
    <w:p w:rsidR="009646EB" w:rsidRDefault="00D85644">
      <w:pPr>
        <w:spacing w:after="60"/>
        <w:jc w:val="center"/>
      </w:pPr>
      <w:r>
        <w:rPr>
          <w:rFonts w:ascii="Calibri" w:hAnsi="Calibri"/>
          <w:b/>
          <w:color w:val="444444"/>
          <w:sz w:val="20"/>
        </w:rPr>
        <w:t>České národní rady</w:t>
      </w:r>
    </w:p>
    <w:p w:rsidR="009646EB" w:rsidRDefault="00D85644">
      <w:pPr>
        <w:spacing w:after="60"/>
        <w:jc w:val="center"/>
      </w:pPr>
      <w:r>
        <w:rPr>
          <w:rFonts w:ascii="Calibri" w:hAnsi="Calibri"/>
          <w:color w:val="444444"/>
          <w:sz w:val="20"/>
        </w:rPr>
        <w:t>ze dne 13. prosince 1990</w:t>
      </w:r>
    </w:p>
    <w:p w:rsidR="009646EB" w:rsidRDefault="00D85644">
      <w:pPr>
        <w:spacing w:after="60"/>
        <w:jc w:val="center"/>
      </w:pPr>
      <w:r>
        <w:rPr>
          <w:rFonts w:ascii="Calibri" w:hAnsi="Calibri"/>
          <w:b/>
          <w:color w:val="444444"/>
          <w:sz w:val="20"/>
        </w:rPr>
        <w:t>o místních poplatcích</w:t>
      </w:r>
    </w:p>
    <w:p w:rsidR="009646EB" w:rsidRDefault="00D85644">
      <w:pPr>
        <w:spacing w:after="60"/>
        <w:jc w:val="both"/>
      </w:pPr>
      <w:r>
        <w:rPr>
          <w:rFonts w:ascii="Calibri" w:hAnsi="Calibri"/>
          <w:color w:val="444444"/>
          <w:sz w:val="20"/>
        </w:rPr>
        <w:t> </w:t>
      </w:r>
    </w:p>
    <w:p w:rsidR="009646EB" w:rsidRDefault="00D85644">
      <w:pPr>
        <w:spacing w:after="60"/>
        <w:jc w:val="both"/>
      </w:pPr>
      <w:r>
        <w:rPr>
          <w:rFonts w:ascii="Calibri" w:hAnsi="Calibri"/>
          <w:color w:val="444444"/>
          <w:sz w:val="20"/>
        </w:rPr>
        <w:t>Česká národní rada se usnesla na tomto zákoně:</w:t>
      </w:r>
    </w:p>
    <w:p w:rsidR="009646EB" w:rsidRDefault="009646EB">
      <w:pPr>
        <w:pBdr>
          <w:top w:val="none" w:sz="0" w:space="4" w:color="auto"/>
          <w:right w:val="none" w:sz="0" w:space="4" w:color="auto"/>
        </w:pBdr>
        <w:spacing w:after="0"/>
        <w:jc w:val="right"/>
      </w:pPr>
    </w:p>
    <w:p w:rsidR="009646EB" w:rsidRDefault="00D85644">
      <w:pPr>
        <w:spacing w:after="0"/>
        <w:jc w:val="center"/>
      </w:pPr>
      <w:bookmarkStart w:id="2" w:name="pf1"/>
      <w:r>
        <w:rPr>
          <w:rFonts w:ascii="Calibri" w:hAnsi="Calibri"/>
          <w:b/>
          <w:color w:val="BA3347"/>
          <w:sz w:val="20"/>
        </w:rPr>
        <w:t>§ 1</w:t>
      </w:r>
    </w:p>
    <w:p w:rsidR="009646EB" w:rsidRDefault="00D85644">
      <w:pPr>
        <w:spacing w:after="0"/>
        <w:jc w:val="center"/>
      </w:pPr>
      <w:r>
        <w:rPr>
          <w:rFonts w:ascii="Calibri" w:hAnsi="Calibri"/>
          <w:b/>
          <w:color w:val="000000"/>
        </w:rPr>
        <w:t>[Druhy poplatků]</w:t>
      </w:r>
    </w:p>
    <w:bookmarkEnd w:id="2"/>
    <w:p w:rsidR="009646EB" w:rsidRDefault="00D85644">
      <w:pPr>
        <w:spacing w:after="60"/>
        <w:jc w:val="both"/>
      </w:pPr>
      <w:r>
        <w:rPr>
          <w:rFonts w:ascii="Calibri" w:hAnsi="Calibri"/>
          <w:color w:val="444444"/>
          <w:sz w:val="20"/>
        </w:rPr>
        <w:t>Obce mohou vybírat tyto místní poplatky (dále jen „poplatky“)</w:t>
      </w:r>
    </w:p>
    <w:tbl>
      <w:tblPr>
        <w:tblW w:w="0" w:type="auto"/>
        <w:tblCellSpacing w:w="0" w:type="dxa"/>
        <w:tblLook w:val="04A0" w:firstRow="1" w:lastRow="0" w:firstColumn="1" w:lastColumn="0" w:noHBand="0" w:noVBand="1"/>
      </w:tblPr>
      <w:tblGrid>
        <w:gridCol w:w="316"/>
        <w:gridCol w:w="8741"/>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a)</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ze psů,</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b)</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poplatek za </w:t>
            </w:r>
            <w:r>
              <w:rPr>
                <w:rFonts w:ascii="Calibri" w:hAnsi="Calibri"/>
                <w:color w:val="444444"/>
              </w:rPr>
              <w:t>lázeňský nebo rekreační pobyt,</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c)</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za užívání veřejného prostranství,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d)</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ze vstupného,</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e)</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z ubytovací kapacity,</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f)</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za povolení k vjezdu s motorovým vozidlem do vybraných míst a částí měst,</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g)</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poplatek za provoz </w:t>
            </w:r>
            <w:r>
              <w:rPr>
                <w:rFonts w:ascii="Calibri" w:hAnsi="Calibri"/>
                <w:color w:val="444444"/>
              </w:rPr>
              <w:t>systému shromažďování, sběru, přepravy, třídění, využívání a odstraňování komunálních odpadů,</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h)</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za zhodnocení stavebního pozemku možností jeho připojení na stavbu vodovodu nebo kanalizace.</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3" w:name="pf2"/>
      <w:r>
        <w:rPr>
          <w:rFonts w:ascii="Calibri" w:hAnsi="Calibri"/>
          <w:b/>
          <w:color w:val="BA3347"/>
          <w:sz w:val="20"/>
        </w:rPr>
        <w:t>§ 2</w:t>
      </w:r>
    </w:p>
    <w:p w:rsidR="009646EB" w:rsidRDefault="00D85644">
      <w:pPr>
        <w:spacing w:after="0"/>
        <w:jc w:val="center"/>
      </w:pPr>
      <w:r>
        <w:rPr>
          <w:rFonts w:ascii="Calibri" w:hAnsi="Calibri"/>
          <w:b/>
          <w:color w:val="000000"/>
        </w:rPr>
        <w:t>[Poplatek ze psů]</w:t>
      </w:r>
    </w:p>
    <w:tbl>
      <w:tblPr>
        <w:tblW w:w="0" w:type="auto"/>
        <w:tblCellSpacing w:w="0" w:type="dxa"/>
        <w:tblLook w:val="04A0" w:firstRow="1" w:lastRow="0" w:firstColumn="1" w:lastColumn="0" w:noHBand="0" w:noVBand="1"/>
      </w:tblPr>
      <w:tblGrid>
        <w:gridCol w:w="335"/>
        <w:gridCol w:w="8722"/>
      </w:tblGrid>
      <w:tr w:rsidR="009646EB">
        <w:trPr>
          <w:trHeight w:val="30"/>
          <w:tblCellSpacing w:w="0" w:type="dxa"/>
        </w:trPr>
        <w:tc>
          <w:tcPr>
            <w:tcW w:w="380" w:type="dxa"/>
            <w:tcMar>
              <w:top w:w="30" w:type="dxa"/>
              <w:left w:w="15" w:type="dxa"/>
              <w:bottom w:w="15" w:type="dxa"/>
              <w:right w:w="15" w:type="dxa"/>
            </w:tcMar>
          </w:tcPr>
          <w:bookmarkEnd w:id="3"/>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ze psů platí držite</w:t>
            </w:r>
            <w:r>
              <w:rPr>
                <w:rFonts w:ascii="Calibri" w:hAnsi="Calibri"/>
                <w:color w:val="444444"/>
              </w:rPr>
              <w:t>l psa. Držitelem je fyzická nebo právnická osoba, která má trvalý pobyt nebo sídlo na území České republiky.</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ze psů se platí ze psů starších 3 měsíců. Od poplatku ze psů je osvobozen držitel psa, kterým je osoba nevidomá, bezmocná</w:t>
            </w:r>
            <w:r>
              <w:rPr>
                <w:rFonts w:ascii="Calibri" w:hAnsi="Calibri"/>
                <w:color w:val="444444"/>
              </w:rPr>
              <w:t>1</w:t>
            </w:r>
            <w:r>
              <w:rPr>
                <w:rFonts w:ascii="Calibri" w:hAnsi="Calibri"/>
                <w:color w:val="444444"/>
              </w:rPr>
              <w:t xml:space="preserve"> a osoba s </w:t>
            </w:r>
            <w:r>
              <w:rPr>
                <w:rFonts w:ascii="Calibri" w:hAnsi="Calibri"/>
                <w:color w:val="444444"/>
              </w:rPr>
              <w:t>těžkým zdravotním postižením, která je držitelem průkazu ZTP/P podle zvláštního právního předpisu</w:t>
            </w:r>
            <w:r>
              <w:rPr>
                <w:rFonts w:ascii="Calibri" w:hAnsi="Calibri"/>
                <w:color w:val="444444"/>
              </w:rPr>
              <w:t>1a</w:t>
            </w:r>
            <w:r>
              <w:rPr>
                <w:rFonts w:ascii="Calibri" w:hAnsi="Calibri"/>
                <w:color w:val="444444"/>
              </w:rPr>
              <w:t>,osoba provádějící výcvik psů určených k doprovodu těchto osob, osoba provozující útulek zřízený obcí pro ztracené nebo opuštěné psy nebo osoba, které stanov</w:t>
            </w:r>
            <w:r>
              <w:rPr>
                <w:rFonts w:ascii="Calibri" w:hAnsi="Calibri"/>
                <w:color w:val="444444"/>
              </w:rPr>
              <w:t>í povinnost držení a používání psa zvláštní právní předpis.</w:t>
            </w:r>
            <w:r>
              <w:rPr>
                <w:rFonts w:ascii="Calibri" w:hAnsi="Calibri"/>
                <w:color w:val="444444"/>
              </w:rPr>
              <w:t>1b</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Sazba poplatku ze psů činí až 1 500 Kč za kalendářní rok a jednoho psa. Sazba poplatku ze psa, jehož držitelem je poživatel invalidního, starobního, vdovského nebo vdoveckého důchodu, který</w:t>
            </w:r>
            <w:r>
              <w:rPr>
                <w:rFonts w:ascii="Calibri" w:hAnsi="Calibri"/>
                <w:color w:val="444444"/>
              </w:rPr>
              <w:t xml:space="preserve"> je jeho jediným zdrojem příjmů, anebo poživatel sirotčího důchodu, činí až 200 Kč za kalendářní rok. U druhého a každého dalšího psa může obec horní hranici sazby zvýšit až o 50 %. V případě držení psa po dobu kratší než jeden rok se platí poplatek v pomě</w:t>
            </w:r>
            <w:r>
              <w:rPr>
                <w:rFonts w:ascii="Calibri" w:hAnsi="Calibri"/>
                <w:color w:val="444444"/>
              </w:rPr>
              <w:t xml:space="preserve">rné výši, která </w:t>
            </w:r>
            <w:r>
              <w:rPr>
                <w:rFonts w:ascii="Calibri" w:hAnsi="Calibri"/>
                <w:color w:val="444444"/>
              </w:rPr>
              <w:lastRenderedPageBreak/>
              <w:t>odpovídá počtu i započatých kalendářních měsíců.</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lastRenderedPageBreak/>
              <w:t>(4)</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Poplatek ze psů platí držitel obci příslušné podle místa trvalého pobytu nebo sídla. Při změně místa trvalého pobytu nebo sídla platí držitel psa poplatek od počátku kalendářního měsíce </w:t>
            </w:r>
            <w:r>
              <w:rPr>
                <w:rFonts w:ascii="Calibri" w:hAnsi="Calibri"/>
                <w:color w:val="444444"/>
              </w:rPr>
              <w:t>následujícího po měsíci, ve kterém změna nastala, nově příslušné obci. Při změně místa trvalého pobytu nebo sídla platí pro výpočet poměrné výše poplatku obdobně odstavec 3.</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4" w:name="pf3"/>
      <w:r>
        <w:rPr>
          <w:rFonts w:ascii="Calibri" w:hAnsi="Calibri"/>
          <w:b/>
          <w:color w:val="BA3347"/>
          <w:sz w:val="20"/>
        </w:rPr>
        <w:t>§ 3</w:t>
      </w:r>
    </w:p>
    <w:p w:rsidR="009646EB" w:rsidRDefault="00D85644">
      <w:pPr>
        <w:spacing w:after="0"/>
        <w:jc w:val="center"/>
      </w:pPr>
      <w:r>
        <w:rPr>
          <w:rFonts w:ascii="Calibri" w:hAnsi="Calibri"/>
          <w:b/>
          <w:color w:val="000000"/>
        </w:rPr>
        <w:t>[Poplatek za lázeňský nebo rekreační pobyt]</w:t>
      </w:r>
    </w:p>
    <w:tbl>
      <w:tblPr>
        <w:tblW w:w="0" w:type="auto"/>
        <w:tblCellSpacing w:w="0" w:type="dxa"/>
        <w:tblLook w:val="04A0" w:firstRow="1" w:lastRow="0" w:firstColumn="1" w:lastColumn="0" w:noHBand="0" w:noVBand="1"/>
      </w:tblPr>
      <w:tblGrid>
        <w:gridCol w:w="336"/>
        <w:gridCol w:w="8721"/>
      </w:tblGrid>
      <w:tr w:rsidR="009646EB">
        <w:trPr>
          <w:trHeight w:val="30"/>
          <w:tblCellSpacing w:w="0" w:type="dxa"/>
        </w:trPr>
        <w:tc>
          <w:tcPr>
            <w:tcW w:w="380" w:type="dxa"/>
            <w:tcMar>
              <w:top w:w="30" w:type="dxa"/>
              <w:left w:w="15" w:type="dxa"/>
              <w:bottom w:w="15" w:type="dxa"/>
              <w:right w:w="15" w:type="dxa"/>
            </w:tcMar>
          </w:tcPr>
          <w:bookmarkEnd w:id="4"/>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Poplatek za lázeňský nebo </w:t>
            </w:r>
            <w:r>
              <w:rPr>
                <w:rFonts w:ascii="Calibri" w:hAnsi="Calibri"/>
                <w:color w:val="444444"/>
              </w:rPr>
              <w:t>rekreační pobyt platí fyzické osoby, které přechodně a za úplatu pobývají v lázeňských místech a v místech soustředěného turistického ruchu za účelem léčení nebo rekreace, pokud tyto osoby neprokáží jiný důvod svého pobytu.</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Poplatku za lázeňský nebo r</w:t>
            </w:r>
            <w:r>
              <w:rPr>
                <w:rFonts w:ascii="Calibri" w:hAnsi="Calibri"/>
                <w:color w:val="444444"/>
              </w:rPr>
              <w:t>ekreační pobyt nepodléhají</w:t>
            </w:r>
          </w:p>
          <w:tbl>
            <w:tblPr>
              <w:tblW w:w="0" w:type="auto"/>
              <w:tblCellSpacing w:w="0" w:type="dxa"/>
              <w:tblLook w:val="04A0" w:firstRow="1" w:lastRow="0" w:firstColumn="1" w:lastColumn="0" w:noHBand="0" w:noVBand="1"/>
            </w:tblPr>
            <w:tblGrid>
              <w:gridCol w:w="316"/>
              <w:gridCol w:w="8330"/>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osoby nevidomé, bezmocné a osoby s těžkým zdravotním postižením, které jsou držiteli průkazu ZTP/P podle zvláštního právního předpisu</w:t>
                  </w:r>
                  <w:r>
                    <w:rPr>
                      <w:rFonts w:ascii="Calibri" w:hAnsi="Calibri"/>
                      <w:color w:val="444444"/>
                    </w:rPr>
                    <w:t>1a</w:t>
                  </w:r>
                  <w:r>
                    <w:rPr>
                      <w:rFonts w:ascii="Calibri" w:hAnsi="Calibri"/>
                      <w:color w:val="444444"/>
                    </w:rPr>
                    <w:t xml:space="preserve"> a jejich průvodci,</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osoby mladší 18 let a starší 70 let nebo osoby, na které náležejí </w:t>
                  </w:r>
                  <w:r>
                    <w:rPr>
                      <w:rFonts w:ascii="Calibri" w:hAnsi="Calibri"/>
                      <w:color w:val="444444"/>
                    </w:rPr>
                    <w:t>přídavky na děti (výchovné)</w:t>
                  </w:r>
                  <w:r>
                    <w:rPr>
                      <w:rFonts w:ascii="Calibri" w:hAnsi="Calibri"/>
                      <w:color w:val="444444"/>
                    </w:rPr>
                    <w:t>4</w:t>
                  </w:r>
                  <w:r>
                    <w:rPr>
                      <w:rFonts w:ascii="Calibri" w:hAnsi="Calibri"/>
                      <w:color w:val="444444"/>
                    </w:rPr>
                    <w:t xml:space="preserve"> anebo vojáci v základní službě a osoby, které vykonávají civilní službu.</w:t>
                  </w:r>
                </w:p>
              </w:tc>
            </w:tr>
          </w:tbl>
          <w:p w:rsidR="009646EB" w:rsidRDefault="009646EB"/>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za lázeňský nebo rekreační pobyt ve stanovené výši vybere a obci odvede</w:t>
            </w:r>
            <w:r>
              <w:rPr>
                <w:rFonts w:ascii="Calibri" w:hAnsi="Calibri"/>
                <w:color w:val="444444"/>
              </w:rPr>
              <w:t xml:space="preserve"> ubytovatel, kterým je fyzická nebo právnická osoba, která přechodné ubytování poskytla; tato osoba je plátcem poplatku .</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Ubytovatel je povinen vést v písemné podobě evidenční knihu, do které zapisuje dobu ubytování, účel pobytu, jméno, příjmení, adre</w:t>
            </w:r>
            <w:r>
              <w:rPr>
                <w:rFonts w:ascii="Calibri" w:hAnsi="Calibri"/>
                <w:color w:val="444444"/>
              </w:rPr>
              <w:t>su místa trvalého pobytu nebo místa trvalého bydliště v zahraničí a číslo občanského průkazu nebo cestovního dokladu fyzické osoby, které ubytování poskytl. Zápisy do evidenční knihy musí být vedeny přehledně a srozumitelně. Tyto zápisy musí být uspořádány</w:t>
            </w:r>
            <w:r>
              <w:rPr>
                <w:rFonts w:ascii="Calibri" w:hAnsi="Calibri"/>
                <w:color w:val="444444"/>
              </w:rPr>
              <w:t xml:space="preserve"> postupně z časového hlediska. Evidenční knihu ubytovatel uchovává po dobu 6 let od provedení posledního zápisu. Zpracování osobních údajů v evidenční knize se řídí zvláštním právním předpisem.</w:t>
            </w:r>
            <w:r>
              <w:rPr>
                <w:rFonts w:ascii="Calibri" w:hAnsi="Calibri"/>
                <w:color w:val="444444"/>
              </w:rPr>
              <w:t>4a</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Sazba poplatku za lázeňský nebo rekreační pobyt činí až</w:t>
            </w:r>
            <w:r>
              <w:rPr>
                <w:rFonts w:ascii="Calibri" w:hAnsi="Calibri"/>
                <w:color w:val="444444"/>
              </w:rPr>
              <w:t xml:space="preserve"> 15,- Kč za osobu a za každý i započatý den pobytu, není-li tento dnem příchodu. Obec může stanovit poplatek týdenní, měsíční nebo roční paušální částkou.</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5" w:name="pf4"/>
      <w:r>
        <w:rPr>
          <w:rFonts w:ascii="Calibri" w:hAnsi="Calibri"/>
          <w:b/>
          <w:color w:val="BA3347"/>
          <w:sz w:val="20"/>
        </w:rPr>
        <w:t>§ 4</w:t>
      </w:r>
    </w:p>
    <w:p w:rsidR="009646EB" w:rsidRDefault="00D85644">
      <w:pPr>
        <w:spacing w:after="0"/>
        <w:jc w:val="center"/>
      </w:pPr>
      <w:r>
        <w:rPr>
          <w:rFonts w:ascii="Calibri" w:hAnsi="Calibri"/>
          <w:b/>
          <w:color w:val="000000"/>
        </w:rPr>
        <w:t>[Poplatek za užívání veřejného prostranství]</w:t>
      </w:r>
    </w:p>
    <w:tbl>
      <w:tblPr>
        <w:tblW w:w="0" w:type="auto"/>
        <w:tblCellSpacing w:w="0" w:type="dxa"/>
        <w:tblLook w:val="04A0" w:firstRow="1" w:lastRow="0" w:firstColumn="1" w:lastColumn="0" w:noHBand="0" w:noVBand="1"/>
      </w:tblPr>
      <w:tblGrid>
        <w:gridCol w:w="336"/>
        <w:gridCol w:w="8721"/>
      </w:tblGrid>
      <w:tr w:rsidR="009646EB">
        <w:trPr>
          <w:trHeight w:val="30"/>
          <w:tblCellSpacing w:w="0" w:type="dxa"/>
        </w:trPr>
        <w:tc>
          <w:tcPr>
            <w:tcW w:w="380" w:type="dxa"/>
            <w:tcMar>
              <w:top w:w="30" w:type="dxa"/>
              <w:left w:w="15" w:type="dxa"/>
              <w:bottom w:w="15" w:type="dxa"/>
              <w:right w:w="15" w:type="dxa"/>
            </w:tcMar>
          </w:tcPr>
          <w:bookmarkEnd w:id="5"/>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Poplatek za užívání veřejného prostranství se </w:t>
            </w:r>
            <w:r>
              <w:rPr>
                <w:rFonts w:ascii="Calibri" w:hAnsi="Calibri"/>
                <w:color w:val="444444"/>
              </w:rPr>
              <w:t>vybírá za zvláštní užívání veřejného prostranství,</w:t>
            </w:r>
            <w:r>
              <w:rPr>
                <w:rFonts w:ascii="Calibri" w:hAnsi="Calibri"/>
                <w:color w:val="444444"/>
              </w:rPr>
              <w:t>4b</w:t>
            </w:r>
            <w:r>
              <w:rPr>
                <w:rFonts w:ascii="Calibri" w:hAnsi="Calibri"/>
                <w:color w:val="444444"/>
              </w:rPr>
              <w:t xml:space="preserve"> kterým se rozumí provádění výkopových prací, umístění dočasných staveb a zařízení sloužících pro poskytování prodeje a služeb, pro umístění stavebních nebo reklamních zařízení, zařízení cirkusů, lunapark</w:t>
            </w:r>
            <w:r>
              <w:rPr>
                <w:rFonts w:ascii="Calibri" w:hAnsi="Calibri"/>
                <w:color w:val="444444"/>
              </w:rPr>
              <w:t xml:space="preserve">ů a jiných obdobných atrakcí, umístění skládek, vyhrazení trvalého parkovacího místa a užívání tohoto prostranství pro kulturní, sportovní a reklamní akce nebo potřeby tvorby filmových a televizních děl․ Z akcí pořádaných na veřejném prostranství, jejichž </w:t>
            </w:r>
            <w:r>
              <w:rPr>
                <w:rFonts w:ascii="Calibri" w:hAnsi="Calibri"/>
                <w:color w:val="444444"/>
              </w:rPr>
              <w:t>výtěžek je určen na charitativní a veřejně prospěšné účely, se poplatek neplatí.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za užívání veřejného prostranství platí fyzické i právnické osoby, které užívají veřejné prostranství způsobem uvedeným v odstavci 1.</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Poplatku za užívání veřejného prostranství spočívajícího ve vyhrazení trvalého parkovacího místa nepodléhají osoby zdravotně postižené</w:t>
            </w:r>
            <w:r>
              <w:rPr>
                <w:rFonts w:ascii="Calibri" w:hAnsi="Calibri"/>
                <w:color w:val="444444"/>
              </w:rPr>
              <w:t>1a</w:t>
            </w:r>
            <w:r>
              <w:rPr>
                <w:rFonts w:ascii="Calibri" w:hAnsi="Calibri"/>
                <w:color w:val="444444"/>
              </w:rPr>
              <w:t>.</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Sazba poplatku za užívání veřejného prostranství činí až 10,- Kč za každý i započatý m</w:t>
            </w:r>
            <w:r>
              <w:rPr>
                <w:rFonts w:ascii="Calibri" w:hAnsi="Calibri"/>
                <w:color w:val="444444"/>
              </w:rPr>
              <w:t>2</w:t>
            </w:r>
            <w:r>
              <w:rPr>
                <w:rFonts w:ascii="Calibri" w:hAnsi="Calibri"/>
                <w:color w:val="444444"/>
              </w:rPr>
              <w:t xml:space="preserve"> užívaného veřejného prost</w:t>
            </w:r>
            <w:r>
              <w:rPr>
                <w:rFonts w:ascii="Calibri" w:hAnsi="Calibri"/>
                <w:color w:val="444444"/>
              </w:rPr>
              <w:t>ranství a každý i započatý den. Za užívání veřejného prostranství k umístění prodejních nebo reklamních zařízení, lunaparků a jiných atrakcí může obec zvýšit sazbu až na její desetinásobek. Obec může stanovit poplatek týdenní, měsíční nebo roční paušální č</w:t>
            </w:r>
            <w:r>
              <w:rPr>
                <w:rFonts w:ascii="Calibri" w:hAnsi="Calibri"/>
                <w:color w:val="444444"/>
              </w:rPr>
              <w:t>ástkou.</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6" w:name="pf5"/>
      <w:r>
        <w:rPr>
          <w:rFonts w:ascii="Calibri" w:hAnsi="Calibri"/>
          <w:b/>
          <w:color w:val="BA3347"/>
          <w:sz w:val="20"/>
        </w:rPr>
        <w:t>§ 5</w:t>
      </w:r>
    </w:p>
    <w:p w:rsidR="009646EB" w:rsidRDefault="00D85644">
      <w:pPr>
        <w:spacing w:after="60"/>
      </w:pPr>
      <w:r>
        <w:rPr>
          <w:rFonts w:ascii="Calibri" w:hAnsi="Calibri"/>
          <w:i/>
          <w:color w:val="444444"/>
        </w:rPr>
        <w:t>zrušen</w:t>
      </w:r>
    </w:p>
    <w:bookmarkEnd w:id="6"/>
    <w:p w:rsidR="009646EB" w:rsidRDefault="009646EB">
      <w:pPr>
        <w:pBdr>
          <w:top w:val="none" w:sz="0" w:space="4" w:color="auto"/>
          <w:right w:val="none" w:sz="0" w:space="4" w:color="auto"/>
        </w:pBdr>
        <w:spacing w:after="0"/>
        <w:jc w:val="right"/>
      </w:pPr>
    </w:p>
    <w:p w:rsidR="009646EB" w:rsidRDefault="00D85644">
      <w:pPr>
        <w:spacing w:after="0"/>
        <w:jc w:val="center"/>
      </w:pPr>
      <w:bookmarkStart w:id="7" w:name="pf6"/>
      <w:r>
        <w:rPr>
          <w:rFonts w:ascii="Calibri" w:hAnsi="Calibri"/>
          <w:b/>
          <w:color w:val="BA3347"/>
          <w:sz w:val="20"/>
        </w:rPr>
        <w:t>§ 6</w:t>
      </w:r>
    </w:p>
    <w:p w:rsidR="009646EB" w:rsidRDefault="00D85644">
      <w:pPr>
        <w:spacing w:after="0"/>
        <w:jc w:val="center"/>
      </w:pPr>
      <w:r>
        <w:rPr>
          <w:rFonts w:ascii="Calibri" w:hAnsi="Calibri"/>
          <w:b/>
          <w:color w:val="000000"/>
        </w:rPr>
        <w:t>[Poplatek ze vstupného]</w:t>
      </w:r>
    </w:p>
    <w:tbl>
      <w:tblPr>
        <w:tblW w:w="0" w:type="auto"/>
        <w:tblCellSpacing w:w="0" w:type="dxa"/>
        <w:tblLook w:val="04A0" w:firstRow="1" w:lastRow="0" w:firstColumn="1" w:lastColumn="0" w:noHBand="0" w:noVBand="1"/>
      </w:tblPr>
      <w:tblGrid>
        <w:gridCol w:w="336"/>
        <w:gridCol w:w="8721"/>
      </w:tblGrid>
      <w:tr w:rsidR="009646EB">
        <w:trPr>
          <w:trHeight w:val="30"/>
          <w:tblCellSpacing w:w="0" w:type="dxa"/>
        </w:trPr>
        <w:tc>
          <w:tcPr>
            <w:tcW w:w="380" w:type="dxa"/>
            <w:tcMar>
              <w:top w:w="30" w:type="dxa"/>
              <w:left w:w="15" w:type="dxa"/>
              <w:bottom w:w="15" w:type="dxa"/>
              <w:right w:w="15" w:type="dxa"/>
            </w:tcMar>
          </w:tcPr>
          <w:bookmarkEnd w:id="7"/>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Poplatek ze vstupného se vybírá ze vstupného na kulturní, sportovní, prodejní nebo reklamní akce, sníženého o daň z přidané hodnoty, je-li v ceně vstupného obsažena. Vstupným se pro účely tohoto zákona </w:t>
            </w:r>
            <w:r>
              <w:rPr>
                <w:rFonts w:ascii="Calibri" w:hAnsi="Calibri"/>
                <w:color w:val="444444"/>
              </w:rPr>
              <w:t>rozumí peněžitá částka, kterou účastník akce zaplatí za to, že se jí může zúčastnit. Z akcí, jejichž celý výtěžek je určen na charitativní a veřejně prospěšné účely, se poplatek neplatí.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ze vstupného platí fyzické a právnické osoby, které akc</w:t>
            </w:r>
            <w:r>
              <w:rPr>
                <w:rFonts w:ascii="Calibri" w:hAnsi="Calibri"/>
                <w:color w:val="444444"/>
              </w:rPr>
              <w:t>i pořádají.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Sazba poplatku ze vstupného činí až 20 % z úhrnné částky vybraného vstupného. Obec může po dohodě s poplatníkem poplatek stanovit paušální částkou.</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8" w:name="pf7"/>
      <w:r>
        <w:rPr>
          <w:rFonts w:ascii="Calibri" w:hAnsi="Calibri"/>
          <w:b/>
          <w:color w:val="BA3347"/>
          <w:sz w:val="20"/>
        </w:rPr>
        <w:t>§ 7</w:t>
      </w:r>
    </w:p>
    <w:p w:rsidR="009646EB" w:rsidRDefault="00D85644">
      <w:pPr>
        <w:spacing w:after="0"/>
        <w:jc w:val="center"/>
      </w:pPr>
      <w:r>
        <w:rPr>
          <w:rFonts w:ascii="Calibri" w:hAnsi="Calibri"/>
          <w:b/>
          <w:color w:val="000000"/>
        </w:rPr>
        <w:t>[Poplatek z ubytovací kapacity v rekreačních a vzdělávacích zařízeních]</w:t>
      </w:r>
    </w:p>
    <w:tbl>
      <w:tblPr>
        <w:tblW w:w="0" w:type="auto"/>
        <w:tblCellSpacing w:w="0" w:type="dxa"/>
        <w:tblLook w:val="04A0" w:firstRow="1" w:lastRow="0" w:firstColumn="1" w:lastColumn="0" w:noHBand="0" w:noVBand="1"/>
      </w:tblPr>
      <w:tblGrid>
        <w:gridCol w:w="335"/>
        <w:gridCol w:w="8722"/>
      </w:tblGrid>
      <w:tr w:rsidR="009646EB">
        <w:trPr>
          <w:trHeight w:val="30"/>
          <w:tblCellSpacing w:w="0" w:type="dxa"/>
        </w:trPr>
        <w:tc>
          <w:tcPr>
            <w:tcW w:w="380" w:type="dxa"/>
            <w:tcMar>
              <w:top w:w="30" w:type="dxa"/>
              <w:left w:w="15" w:type="dxa"/>
              <w:bottom w:w="15" w:type="dxa"/>
              <w:right w:w="15" w:type="dxa"/>
            </w:tcMar>
          </w:tcPr>
          <w:bookmarkEnd w:id="8"/>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Poplatek </w:t>
            </w:r>
            <w:r>
              <w:rPr>
                <w:rFonts w:ascii="Calibri" w:hAnsi="Calibri"/>
                <w:color w:val="444444"/>
              </w:rPr>
              <w:t>z ubytovací kapacity se vybírá v obcích a městech v zařízeních určených k přechodnému ubytování za úplatu.</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Poplatku z ubytovací kapacity nepodléhá</w:t>
            </w:r>
          </w:p>
          <w:tbl>
            <w:tblPr>
              <w:tblW w:w="0" w:type="auto"/>
              <w:tblCellSpacing w:w="0" w:type="dxa"/>
              <w:tblLook w:val="04A0" w:firstRow="1" w:lastRow="0" w:firstColumn="1" w:lastColumn="0" w:noHBand="0" w:noVBand="1"/>
            </w:tblPr>
            <w:tblGrid>
              <w:gridCol w:w="315"/>
              <w:gridCol w:w="8332"/>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ubytovací kapacita v zařízeních sloužících pro přechodné ubytování studentů a žáků,</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646EB" w:rsidRDefault="00D85644">
                  <w:pPr>
                    <w:spacing w:after="60"/>
                  </w:pPr>
                  <w:r>
                    <w:rPr>
                      <w:rFonts w:ascii="Calibri" w:hAnsi="Calibri"/>
                      <w:i/>
                      <w:color w:val="444444"/>
                    </w:rPr>
                    <w:t>zrušeno</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ubytovací kapacita ve zdravotnických nebo lázeňských zařízeních, pokud nejsou užívána jako hotelová zařízení,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ubytovací kapacita v zařízeních sloužících sociálním a charitativním účelům.</w:t>
                  </w:r>
                </w:p>
              </w:tc>
            </w:tr>
          </w:tbl>
          <w:p w:rsidR="009646EB" w:rsidRDefault="009646EB"/>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Poplatek platí ubytovatel, kterým je fyzická nebo </w:t>
            </w:r>
            <w:r>
              <w:rPr>
                <w:rFonts w:ascii="Calibri" w:hAnsi="Calibri"/>
                <w:color w:val="444444"/>
              </w:rPr>
              <w:t>právnická osoba, která přechodné ubytování poskytla. Ubytovatel je povinen vést evidenční knihu obdobně jako u poplatku za lázeňský nebo rekreační pobyt (§ 3 odst. 4) s výjimkou údaje o účelu pobytu.</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Sazba poplatku z ubytovací kapacity činí až 6 Kč za</w:t>
            </w:r>
            <w:r>
              <w:rPr>
                <w:rFonts w:ascii="Calibri" w:hAnsi="Calibri"/>
                <w:color w:val="444444"/>
              </w:rPr>
              <w:t xml:space="preserve"> každé využité lůžko a den. Obec může po dohodě s poplatníkem stanovit poplatek roční paušální částkou.</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9" w:name="pf8"/>
      <w:r>
        <w:rPr>
          <w:rFonts w:ascii="Calibri" w:hAnsi="Calibri"/>
          <w:b/>
          <w:color w:val="BA3347"/>
          <w:sz w:val="20"/>
        </w:rPr>
        <w:t>§ 8</w:t>
      </w:r>
    </w:p>
    <w:p w:rsidR="009646EB" w:rsidRDefault="00D85644">
      <w:pPr>
        <w:spacing w:after="60"/>
      </w:pPr>
      <w:r>
        <w:rPr>
          <w:rFonts w:ascii="Calibri" w:hAnsi="Calibri"/>
          <w:i/>
          <w:color w:val="444444"/>
        </w:rPr>
        <w:t>zrušen</w:t>
      </w:r>
    </w:p>
    <w:bookmarkEnd w:id="9"/>
    <w:p w:rsidR="009646EB" w:rsidRDefault="009646EB">
      <w:pPr>
        <w:pBdr>
          <w:top w:val="none" w:sz="0" w:space="4" w:color="auto"/>
          <w:right w:val="none" w:sz="0" w:space="4" w:color="auto"/>
        </w:pBdr>
        <w:spacing w:after="0"/>
        <w:jc w:val="right"/>
      </w:pPr>
    </w:p>
    <w:p w:rsidR="009646EB" w:rsidRDefault="00D85644">
      <w:pPr>
        <w:spacing w:after="0"/>
        <w:jc w:val="center"/>
      </w:pPr>
      <w:bookmarkStart w:id="10" w:name="pf9"/>
      <w:r>
        <w:rPr>
          <w:rFonts w:ascii="Calibri" w:hAnsi="Calibri"/>
          <w:b/>
          <w:color w:val="BA3347"/>
          <w:sz w:val="20"/>
        </w:rPr>
        <w:t>§ 9</w:t>
      </w:r>
    </w:p>
    <w:p w:rsidR="009646EB" w:rsidRDefault="00D85644">
      <w:pPr>
        <w:spacing w:after="60"/>
      </w:pPr>
      <w:r>
        <w:rPr>
          <w:rFonts w:ascii="Calibri" w:hAnsi="Calibri"/>
          <w:i/>
          <w:color w:val="444444"/>
        </w:rPr>
        <w:t>zrušen</w:t>
      </w:r>
    </w:p>
    <w:bookmarkEnd w:id="10"/>
    <w:p w:rsidR="009646EB" w:rsidRDefault="009646EB">
      <w:pPr>
        <w:pBdr>
          <w:top w:val="none" w:sz="0" w:space="4" w:color="auto"/>
          <w:right w:val="none" w:sz="0" w:space="4" w:color="auto"/>
        </w:pBdr>
        <w:spacing w:after="0"/>
        <w:jc w:val="right"/>
      </w:pPr>
    </w:p>
    <w:p w:rsidR="009646EB" w:rsidRDefault="00D85644">
      <w:pPr>
        <w:spacing w:after="0"/>
        <w:jc w:val="center"/>
      </w:pPr>
      <w:bookmarkStart w:id="11" w:name="pf10"/>
      <w:r>
        <w:rPr>
          <w:rFonts w:ascii="Calibri" w:hAnsi="Calibri"/>
          <w:b/>
          <w:color w:val="BA3347"/>
          <w:sz w:val="20"/>
        </w:rPr>
        <w:t>§ 10</w:t>
      </w:r>
    </w:p>
    <w:p w:rsidR="009646EB" w:rsidRDefault="00D85644">
      <w:pPr>
        <w:spacing w:after="0"/>
        <w:jc w:val="center"/>
      </w:pPr>
      <w:r>
        <w:rPr>
          <w:rFonts w:ascii="Calibri" w:hAnsi="Calibri"/>
          <w:b/>
          <w:color w:val="000000"/>
        </w:rPr>
        <w:t>[Poplatek za povolení k vjezdu s motorovým vozidlem do vybraných míst a částí měst]</w:t>
      </w:r>
    </w:p>
    <w:tbl>
      <w:tblPr>
        <w:tblW w:w="0" w:type="auto"/>
        <w:tblCellSpacing w:w="0" w:type="dxa"/>
        <w:tblLook w:val="04A0" w:firstRow="1" w:lastRow="0" w:firstColumn="1" w:lastColumn="0" w:noHBand="0" w:noVBand="1"/>
      </w:tblPr>
      <w:tblGrid>
        <w:gridCol w:w="336"/>
        <w:gridCol w:w="8721"/>
      </w:tblGrid>
      <w:tr w:rsidR="009646EB">
        <w:trPr>
          <w:trHeight w:val="30"/>
          <w:tblCellSpacing w:w="0" w:type="dxa"/>
        </w:trPr>
        <w:tc>
          <w:tcPr>
            <w:tcW w:w="380" w:type="dxa"/>
            <w:tcMar>
              <w:top w:w="30" w:type="dxa"/>
              <w:left w:w="15" w:type="dxa"/>
              <w:bottom w:w="15" w:type="dxa"/>
              <w:right w:w="15" w:type="dxa"/>
            </w:tcMar>
          </w:tcPr>
          <w:bookmarkEnd w:id="11"/>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Poplatek za povolení k vjezdu </w:t>
            </w:r>
            <w:r>
              <w:rPr>
                <w:rFonts w:ascii="Calibri" w:hAnsi="Calibri"/>
                <w:color w:val="444444"/>
              </w:rPr>
              <w:t>s motorovým vozidlem</w:t>
            </w:r>
            <w:r>
              <w:rPr>
                <w:rFonts w:ascii="Calibri" w:hAnsi="Calibri"/>
                <w:color w:val="444444"/>
              </w:rPr>
              <w:t>12</w:t>
            </w:r>
            <w:r>
              <w:rPr>
                <w:rFonts w:ascii="Calibri" w:hAnsi="Calibri"/>
                <w:color w:val="444444"/>
              </w:rPr>
              <w:t xml:space="preserve"> do vybraných míst a částí měst (dále jen „vybraná místa“) platí fyzická nebo právnická osoba, které bylo vydáno povolení k vjezdu s motorovým vozidlem do vybraných míst. Poplatek neplatí fyzické osoby mající trvalý pobyt nebo vlastní</w:t>
            </w:r>
            <w:r>
              <w:rPr>
                <w:rFonts w:ascii="Calibri" w:hAnsi="Calibri"/>
                <w:color w:val="444444"/>
              </w:rPr>
              <w:t>cí nemovitosti ve vybraném místě, osoby jim blízké,</w:t>
            </w:r>
            <w:r>
              <w:rPr>
                <w:rFonts w:ascii="Calibri" w:hAnsi="Calibri"/>
                <w:color w:val="444444"/>
              </w:rPr>
              <w:t>13</w:t>
            </w:r>
            <w:r>
              <w:rPr>
                <w:rFonts w:ascii="Calibri" w:hAnsi="Calibri"/>
                <w:color w:val="444444"/>
              </w:rPr>
              <w:t xml:space="preserve"> manželé těchto osob a jejich děti. Dále osoby, které ve vybraném místě užívají nemovitost k podnikání nebo veřejně prospěšné činnosti nebo osoby, které jsou držiteli průkazu ZTP a jejich průvodci.</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se vybírá za vydání povolení k vjezdu s motorovým vozidlem do vybraných míst, do kterých je jinak vjezd zakázán příslušnou dopravní značkou.</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Sazba poplatku za povolení k vjezdu s motorovým vozidlem do vybraných míst činí až 200 Kč za každý za</w:t>
            </w:r>
            <w:r>
              <w:rPr>
                <w:rFonts w:ascii="Calibri" w:hAnsi="Calibri"/>
                <w:color w:val="444444"/>
              </w:rPr>
              <w:t>počatý den. Obec může po dohodě s poplatníkem stanovit poplatek také paušální částkou.</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12" w:name="pf10a"/>
      <w:r>
        <w:rPr>
          <w:rFonts w:ascii="Calibri" w:hAnsi="Calibri"/>
          <w:b/>
          <w:color w:val="BA3347"/>
          <w:sz w:val="20"/>
        </w:rPr>
        <w:t>§ 10a</w:t>
      </w:r>
    </w:p>
    <w:p w:rsidR="009646EB" w:rsidRDefault="00D85644">
      <w:pPr>
        <w:spacing w:after="60"/>
      </w:pPr>
      <w:r>
        <w:rPr>
          <w:rFonts w:ascii="Calibri" w:hAnsi="Calibri"/>
          <w:i/>
          <w:color w:val="444444"/>
        </w:rPr>
        <w:t>zrušen</w:t>
      </w:r>
    </w:p>
    <w:bookmarkEnd w:id="12"/>
    <w:p w:rsidR="009646EB" w:rsidRDefault="009646EB">
      <w:pPr>
        <w:pBdr>
          <w:top w:val="none" w:sz="0" w:space="4" w:color="auto"/>
          <w:right w:val="none" w:sz="0" w:space="4" w:color="auto"/>
        </w:pBdr>
        <w:spacing w:after="0"/>
        <w:jc w:val="right"/>
      </w:pPr>
    </w:p>
    <w:p w:rsidR="009646EB" w:rsidRDefault="00D85644">
      <w:pPr>
        <w:spacing w:after="0"/>
        <w:jc w:val="center"/>
      </w:pPr>
      <w:bookmarkStart w:id="13" w:name="pf10b"/>
      <w:r>
        <w:rPr>
          <w:rFonts w:ascii="Calibri" w:hAnsi="Calibri"/>
          <w:b/>
          <w:color w:val="BA3347"/>
          <w:sz w:val="20"/>
        </w:rPr>
        <w:t>§ 10b</w:t>
      </w:r>
    </w:p>
    <w:p w:rsidR="009646EB" w:rsidRDefault="00D85644">
      <w:pPr>
        <w:spacing w:after="0"/>
        <w:jc w:val="center"/>
      </w:pPr>
      <w:r>
        <w:rPr>
          <w:rFonts w:ascii="Calibri" w:hAnsi="Calibri"/>
          <w:b/>
          <w:color w:val="000000"/>
        </w:rPr>
        <w:t>[Poplatek za komunální odpad]</w:t>
      </w:r>
    </w:p>
    <w:bookmarkEnd w:id="13"/>
    <w:p w:rsidR="009646EB" w:rsidRDefault="00D85644">
      <w:pPr>
        <w:spacing w:after="60"/>
        <w:jc w:val="both"/>
      </w:pPr>
      <w:r>
        <w:rPr>
          <w:rFonts w:ascii="Calibri" w:hAnsi="Calibri"/>
          <w:i/>
          <w:color w:val="444444"/>
          <w:sz w:val="16"/>
        </w:rPr>
        <w:t>Ústavní soud rozhodl nálezem sp. zn. Pl. ÚS 9/15, ve Sbírce zákonů publikovaným pod č. </w:t>
      </w:r>
      <w:hyperlink r:id="rId5">
        <w:r>
          <w:rPr>
            <w:rFonts w:ascii="Calibri" w:hAnsi="Calibri"/>
            <w:i/>
            <w:color w:val="853536"/>
            <w:sz w:val="16"/>
          </w:rPr>
          <w:t>338/2017 Sb.</w:t>
        </w:r>
      </w:hyperlink>
      <w:r>
        <w:rPr>
          <w:rFonts w:ascii="Calibri" w:hAnsi="Calibri"/>
          <w:i/>
          <w:color w:val="444444"/>
          <w:sz w:val="16"/>
        </w:rPr>
        <w:t xml:space="preserve">, že ustanovení </w:t>
      </w:r>
      <w:hyperlink r:id="rId6">
        <w:r>
          <w:rPr>
            <w:rFonts w:ascii="Calibri" w:hAnsi="Calibri"/>
            <w:i/>
            <w:color w:val="853536"/>
            <w:sz w:val="16"/>
          </w:rPr>
          <w:t>§ 10b</w:t>
        </w:r>
      </w:hyperlink>
      <w:r>
        <w:rPr>
          <w:rFonts w:ascii="Calibri" w:hAnsi="Calibri"/>
          <w:i/>
          <w:color w:val="444444"/>
          <w:sz w:val="16"/>
        </w:rPr>
        <w:t xml:space="preserve"> odst. 1 písm. a)</w:t>
      </w:r>
      <w:r>
        <w:rPr>
          <w:rFonts w:ascii="Calibri" w:hAnsi="Calibri"/>
          <w:i/>
          <w:color w:val="444444"/>
          <w:sz w:val="16"/>
        </w:rPr>
        <w:t xml:space="preserve"> zákona č. 565/1990 Sb., o místních poplatcích, ve znění účinném do 30. června 2012, bylo v rozsahu, v němž ukládalo povinnosti nezletilým poplatníkům, v rozporu s čl. 32 odst. 1 ve spojení s čl. 4 odst. 4, čl. 3 odst. 1 a s čl. 11 odst. 1 ve spojení s </w:t>
      </w:r>
      <w:hyperlink r:id="rId7">
        <w:r>
          <w:rPr>
            <w:rFonts w:ascii="Calibri" w:hAnsi="Calibri"/>
            <w:i/>
            <w:color w:val="853536"/>
            <w:sz w:val="16"/>
          </w:rPr>
          <w:t>čl. 4</w:t>
        </w:r>
      </w:hyperlink>
      <w:r>
        <w:rPr>
          <w:rFonts w:ascii="Calibri" w:hAnsi="Calibri"/>
          <w:i/>
          <w:color w:val="444444"/>
          <w:sz w:val="16"/>
        </w:rPr>
        <w:t xml:space="preserve"> odst. 4 Listiny základních práv a svobod. S ohledem na čl. 89 odst. 2 Ústavy jsou orgány veřejné moci povinny promítnout důsledky shledané protiústavnost</w:t>
      </w:r>
      <w:r>
        <w:rPr>
          <w:rFonts w:ascii="Calibri" w:hAnsi="Calibri"/>
          <w:i/>
          <w:color w:val="444444"/>
          <w:sz w:val="16"/>
        </w:rPr>
        <w:t>i do své rozhodovací praxe, tedy při řešení konkrétních případů zohlednit výše uvedené derogační důvody a neaplikovat citovaná ustanovení v rozsahu, v němž ukládala povinnosti nezletilým poplatníkům.</w:t>
      </w:r>
    </w:p>
    <w:tbl>
      <w:tblPr>
        <w:tblW w:w="0" w:type="auto"/>
        <w:tblCellSpacing w:w="0" w:type="dxa"/>
        <w:tblLook w:val="04A0" w:firstRow="1" w:lastRow="0" w:firstColumn="1" w:lastColumn="0" w:noHBand="0" w:noVBand="1"/>
      </w:tblPr>
      <w:tblGrid>
        <w:gridCol w:w="335"/>
        <w:gridCol w:w="8722"/>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za provoz systému shromažďování, sběru, pře</w:t>
            </w:r>
            <w:r>
              <w:rPr>
                <w:rFonts w:ascii="Calibri" w:hAnsi="Calibri"/>
                <w:color w:val="444444"/>
              </w:rPr>
              <w:t>pravy, třídění, využívání a odstraňování komunálních odpadů platí</w:t>
            </w:r>
          </w:p>
          <w:tbl>
            <w:tblPr>
              <w:tblW w:w="0" w:type="auto"/>
              <w:tblCellSpacing w:w="0" w:type="dxa"/>
              <w:tblLook w:val="04A0" w:firstRow="1" w:lastRow="0" w:firstColumn="1" w:lastColumn="0" w:noHBand="0" w:noVBand="1"/>
            </w:tblPr>
            <w:tblGrid>
              <w:gridCol w:w="315"/>
              <w:gridCol w:w="8332"/>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fyzická osoba,</w:t>
                  </w:r>
                </w:p>
                <w:tbl>
                  <w:tblPr>
                    <w:tblW w:w="0" w:type="auto"/>
                    <w:tblCellSpacing w:w="0" w:type="dxa"/>
                    <w:tblLook w:val="04A0" w:firstRow="1" w:lastRow="0" w:firstColumn="1" w:lastColumn="0" w:noHBand="0" w:noVBand="1"/>
                  </w:tblPr>
                  <w:tblGrid>
                    <w:gridCol w:w="310"/>
                    <w:gridCol w:w="7947"/>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1.</w:t>
                        </w:r>
                      </w:p>
                    </w:tc>
                    <w:tc>
                      <w:tcPr>
                        <w:tcW w:w="1165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která má v obci trvalý pobyt,</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165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které byl podle zákona upravujícího pobyt cizinců na území České republiky povolen trvalý pobyt nebo přechodný pobyt na dobu delší než </w:t>
                        </w:r>
                        <w:r>
                          <w:rPr>
                            <w:rFonts w:ascii="Calibri" w:hAnsi="Calibri"/>
                            <w:color w:val="444444"/>
                          </w:rPr>
                          <w:t>90 dnů,</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165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která podle zákona upravujícího pobyt cizinců na území České republiky pobývá na území České republiky přechodně po dobu delší 3 měsíců,</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4.</w:t>
                        </w:r>
                      </w:p>
                    </w:tc>
                    <w:tc>
                      <w:tcPr>
                        <w:tcW w:w="1165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které byla udělena mezinárodní ochrana podle zákona upravujícího azyl nebo dočasná ochrana podle zákona</w:t>
                        </w:r>
                        <w:r>
                          <w:rPr>
                            <w:rFonts w:ascii="Calibri" w:hAnsi="Calibri"/>
                            <w:color w:val="444444"/>
                          </w:rPr>
                          <w:t xml:space="preserve"> upravujícího dočasnou ochranu cizinců,</w:t>
                        </w:r>
                      </w:p>
                    </w:tc>
                  </w:tr>
                </w:tbl>
                <w:p w:rsidR="009646EB" w:rsidRDefault="009646EB"/>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fyzická osoba, která má ve vlastnictví stavbu určenou k individuální rekreaci, byt nebo rodinný dům, ve kterých není hlášena k pobytu žádná fyzická osoba, a to ve výši odpovídající poplatku za jednu fyzickou </w:t>
                  </w:r>
                  <w:r>
                    <w:rPr>
                      <w:rFonts w:ascii="Calibri" w:hAnsi="Calibri"/>
                      <w:color w:val="444444"/>
                    </w:rPr>
                    <w:t xml:space="preserve">osobu; má-li ke stavbě určené k individuální rekreaci, bytu nebo </w:t>
                  </w:r>
                  <w:r>
                    <w:rPr>
                      <w:rFonts w:ascii="Calibri" w:hAnsi="Calibri"/>
                      <w:color w:val="444444"/>
                    </w:rPr>
                    <w:lastRenderedPageBreak/>
                    <w:t>rodinnému domu vlastnické právo více osob, jsou povinny platit poplatek společně a nerozdílně.</w:t>
                  </w:r>
                </w:p>
              </w:tc>
            </w:tr>
          </w:tbl>
          <w:p w:rsidR="009646EB" w:rsidRDefault="009646EB"/>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Za fyzické osoby tvořící domácnost může poplatek platit jedna osoba. Za fyzické osoby žij</w:t>
            </w:r>
            <w:r>
              <w:rPr>
                <w:rFonts w:ascii="Calibri" w:hAnsi="Calibri"/>
                <w:color w:val="444444"/>
              </w:rPr>
              <w:t>ící v rodinném nebo bytovém domě může poplatek platit vlastník nebo správce. Osoby, které platí poplatek za více fyzických osob, jsou povinny obecnímu úřadu oznámit jméno, popřípadě jména, příjmení a data narození osob, za které poplatek platí.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Od </w:t>
            </w:r>
            <w:r>
              <w:rPr>
                <w:rFonts w:ascii="Calibri" w:hAnsi="Calibri"/>
                <w:color w:val="444444"/>
              </w:rPr>
              <w:t>poplatku je osvobozena fyzická osoba podle odstavce 1 písm. a), která je</w:t>
            </w:r>
          </w:p>
          <w:tbl>
            <w:tblPr>
              <w:tblW w:w="0" w:type="auto"/>
              <w:tblCellSpacing w:w="0" w:type="dxa"/>
              <w:tblLook w:val="04A0" w:firstRow="1" w:lastRow="0" w:firstColumn="1" w:lastColumn="0" w:noHBand="0" w:noVBand="1"/>
            </w:tblPr>
            <w:tblGrid>
              <w:gridCol w:w="316"/>
              <w:gridCol w:w="8331"/>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umístěna do dětského domova pro děti do 3 let věku, školského zařízení pro výkon ústavní nebo ochranné výchovy nebo školského zařízení pro preventivně výchovnou péči na základě roz</w:t>
                  </w:r>
                  <w:r>
                    <w:rPr>
                      <w:rFonts w:ascii="Calibri" w:hAnsi="Calibri"/>
                      <w:color w:val="444444"/>
                    </w:rPr>
                    <w:t>hodnutí soudu nebo smlouvy,</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umístěna do zařízení pro děti vyžadující okamžitou pomoc na základě rozhodnutí soudu, na žádost obecního úřadu obce s rozšířenou působností, zákonného zástupce dítěte nebo nezletilého, nebo</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umístěna v domově pro osoby se</w:t>
                  </w:r>
                  <w:r>
                    <w:rPr>
                      <w:rFonts w:ascii="Calibri" w:hAnsi="Calibri"/>
                      <w:color w:val="444444"/>
                    </w:rPr>
                    <w:t xml:space="preserve"> zdravotním postižením, domově pro seniory, domově se zvláštním režimem nebo chráněném bydlení.</w:t>
                  </w:r>
                </w:p>
              </w:tc>
            </w:tr>
          </w:tbl>
          <w:p w:rsidR="009646EB" w:rsidRDefault="009646EB"/>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se platí obci, na jejímž území je fyzická osoba hlášena k pobytu, nebo obci, na jejímž území se nachází stavba určená k individuální rekreaci, b</w:t>
            </w:r>
            <w:r>
              <w:rPr>
                <w:rFonts w:ascii="Calibri" w:hAnsi="Calibri"/>
                <w:color w:val="444444"/>
              </w:rPr>
              <w:t>yt nebo rodinný dům.</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Sazbu poplatku tvoří</w:t>
            </w:r>
          </w:p>
          <w:tbl>
            <w:tblPr>
              <w:tblW w:w="0" w:type="auto"/>
              <w:tblCellSpacing w:w="0" w:type="dxa"/>
              <w:tblLook w:val="04A0" w:firstRow="1" w:lastRow="0" w:firstColumn="1" w:lastColumn="0" w:noHBand="0" w:noVBand="1"/>
            </w:tblPr>
            <w:tblGrid>
              <w:gridCol w:w="316"/>
              <w:gridCol w:w="8331"/>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částka až 250 Kč za osobu uvedenou v odstavci 1 a kalendářní rok a</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částka stanovená na základě skutečných nákladů obce předchozího kalendářního roku na sběr a svoz netříděného komunálního odpadu až </w:t>
                  </w:r>
                  <w:r>
                    <w:rPr>
                      <w:rFonts w:ascii="Calibri" w:hAnsi="Calibri"/>
                      <w:color w:val="444444"/>
                    </w:rPr>
                    <w:t>750 Kč za osobu uvedenou v odstavci 1 a kalendářní rok; obec v obecně závazné vyhlášce stanoví rozúčtování nákladů na sběr a svoz netříděného komunálního odpadu na osobu.</w:t>
                  </w:r>
                </w:p>
              </w:tc>
            </w:tr>
          </w:tbl>
          <w:p w:rsidR="009646EB" w:rsidRDefault="009646EB"/>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V případě změny místa pobytu fyzické osoby, změny vlastnictví stavby určené </w:t>
            </w:r>
            <w:r>
              <w:rPr>
                <w:rFonts w:ascii="Calibri" w:hAnsi="Calibri"/>
                <w:color w:val="444444"/>
              </w:rPr>
              <w:t xml:space="preserve">k individuální rekreaci, bytu nebo rodinného domu nebo změny umístění podle odstavce 3 v průběhu kalendářního roku, se poplatek platí v poměrné výši, která odpovídá počtu kalendářních měsíců pobytu, vlastnictví nebo umístění v příslušném kalendářním roce. </w:t>
            </w:r>
            <w:r>
              <w:rPr>
                <w:rFonts w:ascii="Calibri" w:hAnsi="Calibri"/>
                <w:color w:val="444444"/>
              </w:rPr>
              <w:t>Dojde-li ke změně v průběhu kalendářního měsíce, je pro stanovení počtu měsíců rozhodný stav k poslednímu dni tohoto měsíce.</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14" w:name="pf10c"/>
      <w:r>
        <w:rPr>
          <w:rFonts w:ascii="Calibri" w:hAnsi="Calibri"/>
          <w:b/>
          <w:color w:val="BA3347"/>
          <w:sz w:val="20"/>
        </w:rPr>
        <w:t>§ 10c</w:t>
      </w:r>
    </w:p>
    <w:p w:rsidR="009646EB" w:rsidRDefault="00D85644">
      <w:pPr>
        <w:spacing w:after="0"/>
        <w:jc w:val="center"/>
      </w:pPr>
      <w:r>
        <w:rPr>
          <w:rFonts w:ascii="Calibri" w:hAnsi="Calibri"/>
          <w:b/>
          <w:color w:val="000000"/>
        </w:rPr>
        <w:t>[Poplatek za zhodnocení stavebního pozemku]</w:t>
      </w:r>
    </w:p>
    <w:tbl>
      <w:tblPr>
        <w:tblW w:w="0" w:type="auto"/>
        <w:tblCellSpacing w:w="0" w:type="dxa"/>
        <w:tblLook w:val="04A0" w:firstRow="1" w:lastRow="0" w:firstColumn="1" w:lastColumn="0" w:noHBand="0" w:noVBand="1"/>
      </w:tblPr>
      <w:tblGrid>
        <w:gridCol w:w="336"/>
        <w:gridCol w:w="8721"/>
      </w:tblGrid>
      <w:tr w:rsidR="009646EB">
        <w:trPr>
          <w:trHeight w:val="30"/>
          <w:tblCellSpacing w:w="0" w:type="dxa"/>
        </w:trPr>
        <w:tc>
          <w:tcPr>
            <w:tcW w:w="380" w:type="dxa"/>
            <w:tcMar>
              <w:top w:w="30" w:type="dxa"/>
              <w:left w:w="15" w:type="dxa"/>
              <w:bottom w:w="15" w:type="dxa"/>
              <w:right w:w="15" w:type="dxa"/>
            </w:tcMar>
          </w:tcPr>
          <w:bookmarkEnd w:id="14"/>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platí vlastník stavebního pozemku</w:t>
            </w:r>
            <w:r>
              <w:rPr>
                <w:rFonts w:ascii="Calibri" w:hAnsi="Calibri"/>
                <w:color w:val="444444"/>
              </w:rPr>
              <w:t>16</w:t>
            </w:r>
            <w:r>
              <w:rPr>
                <w:rFonts w:ascii="Calibri" w:hAnsi="Calibri"/>
                <w:color w:val="444444"/>
              </w:rPr>
              <w:t xml:space="preserve"> zhodnoceného možností připojen</w:t>
            </w:r>
            <w:r>
              <w:rPr>
                <w:rFonts w:ascii="Calibri" w:hAnsi="Calibri"/>
                <w:color w:val="444444"/>
              </w:rPr>
              <w:t>í na obcí vybudovanou stavbu vodovodu nebo kanalizace po nabytí účinnosti zákona o vodovodech a kanalizacích. Má-li k tomuto stavebnímu pozemku vlastnické právo více subjektů, jsou povinny platit poplatek společně a nerozdílně.</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Poplatek se platí obci,</w:t>
            </w:r>
            <w:r>
              <w:rPr>
                <w:rFonts w:ascii="Calibri" w:hAnsi="Calibri"/>
                <w:color w:val="444444"/>
              </w:rPr>
              <w:t xml:space="preserve"> na jejímž území se nachází stavební pozemek uvedený v odstavci 1.</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Sazba poplatku nesmí přesáhnout rozdíl ceny stavebního pozemku bez možnosti připojení na obcí vybudovanou stavbu vodovodu nebo kanalizace a ceny stavebního pozemku s touto možností. </w:t>
            </w:r>
            <w:r>
              <w:rPr>
                <w:rFonts w:ascii="Calibri" w:hAnsi="Calibri"/>
                <w:color w:val="444444"/>
              </w:rPr>
              <w:t>Cena stavebního pozemku v obci se stanoví podle zvláštního právního předpisu</w:t>
            </w:r>
            <w:r>
              <w:rPr>
                <w:rFonts w:ascii="Calibri" w:hAnsi="Calibri"/>
                <w:color w:val="444444"/>
              </w:rPr>
              <w:t>17</w:t>
            </w:r>
            <w:r>
              <w:rPr>
                <w:rFonts w:ascii="Calibri" w:hAnsi="Calibri"/>
                <w:color w:val="444444"/>
              </w:rPr>
              <w:t xml:space="preserve"> </w:t>
            </w:r>
            <w:r>
              <w:rPr>
                <w:rFonts w:ascii="Calibri" w:hAnsi="Calibri"/>
                <w:color w:val="444444"/>
              </w:rPr>
              <w:lastRenderedPageBreak/>
              <w:t>v kalendářním roce, ve kterém nabylo právní moci kolaudační rozhodnutí</w:t>
            </w:r>
            <w:r>
              <w:rPr>
                <w:rFonts w:ascii="Calibri" w:hAnsi="Calibri"/>
                <w:color w:val="444444"/>
              </w:rPr>
              <w:t>18</w:t>
            </w:r>
            <w:r>
              <w:rPr>
                <w:rFonts w:ascii="Calibri" w:hAnsi="Calibri"/>
                <w:color w:val="444444"/>
              </w:rPr>
              <w:t xml:space="preserve"> pro stavbu vodovodu nebo kanalizace obcí vybudované. Výše sazby na 1m</w:t>
            </w:r>
            <w:r>
              <w:rPr>
                <w:rFonts w:ascii="Calibri" w:hAnsi="Calibri"/>
                <w:color w:val="444444"/>
              </w:rPr>
              <w:t>2</w:t>
            </w:r>
            <w:r>
              <w:rPr>
                <w:rFonts w:ascii="Calibri" w:hAnsi="Calibri"/>
                <w:color w:val="444444"/>
              </w:rPr>
              <w:t xml:space="preserve"> zhodnoceného stavebního pozemku s</w:t>
            </w:r>
            <w:r>
              <w:rPr>
                <w:rFonts w:ascii="Calibri" w:hAnsi="Calibri"/>
                <w:color w:val="444444"/>
              </w:rPr>
              <w:t>tanoví obec v obecně závazné vyhlášce, kterou může obec vydat nejpozději v kalendářním roce, kdy nabylo právní moci rozhodnutí podle věty druhé.</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15" w:name="pf11"/>
      <w:r>
        <w:rPr>
          <w:rFonts w:ascii="Calibri" w:hAnsi="Calibri"/>
          <w:b/>
          <w:color w:val="BA3347"/>
          <w:sz w:val="20"/>
        </w:rPr>
        <w:t>§ 11</w:t>
      </w:r>
    </w:p>
    <w:p w:rsidR="009646EB" w:rsidRDefault="00D85644">
      <w:pPr>
        <w:spacing w:after="0"/>
        <w:jc w:val="center"/>
      </w:pPr>
      <w:r>
        <w:rPr>
          <w:rFonts w:ascii="Calibri" w:hAnsi="Calibri"/>
          <w:b/>
          <w:color w:val="000000"/>
        </w:rPr>
        <w:t>[Platební výměr]</w:t>
      </w:r>
    </w:p>
    <w:tbl>
      <w:tblPr>
        <w:tblW w:w="0" w:type="auto"/>
        <w:tblCellSpacing w:w="0" w:type="dxa"/>
        <w:tblLook w:val="04A0" w:firstRow="1" w:lastRow="0" w:firstColumn="1" w:lastColumn="0" w:noHBand="0" w:noVBand="1"/>
      </w:tblPr>
      <w:tblGrid>
        <w:gridCol w:w="336"/>
        <w:gridCol w:w="8721"/>
      </w:tblGrid>
      <w:tr w:rsidR="009646EB">
        <w:trPr>
          <w:trHeight w:val="30"/>
          <w:tblCellSpacing w:w="0" w:type="dxa"/>
        </w:trPr>
        <w:tc>
          <w:tcPr>
            <w:tcW w:w="380" w:type="dxa"/>
            <w:tcMar>
              <w:top w:w="30" w:type="dxa"/>
              <w:left w:w="15" w:type="dxa"/>
              <w:bottom w:w="15" w:type="dxa"/>
              <w:right w:w="15" w:type="dxa"/>
            </w:tcMar>
          </w:tcPr>
          <w:bookmarkEnd w:id="15"/>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Nebudou-li poplatky zaplaceny poplatníkem včas nebo ve správné výši, vyměří mu obecní úřad poplatek platebním výměrem nebo hromadným předpisným seznamem.</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Nebudou-li poplatky odvedeny plátcem poplatku včas nebo ve správné výši, vyměří mu obecní úřad po</w:t>
            </w:r>
            <w:r>
              <w:rPr>
                <w:rFonts w:ascii="Calibri" w:hAnsi="Calibri"/>
                <w:color w:val="444444"/>
              </w:rPr>
              <w:t>platek platebním výměrem k přímé úhradě.</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Včas nezaplacené nebo neodvedené poplatky nebo část těchto poplatků může obecní úřad zvýšit až na trojnásobek; toto zvýšení je příslušenstvím poplatku.</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Penále, úroky a pokuty, upravené daňovým řádem, </w:t>
            </w:r>
            <w:r>
              <w:rPr>
                <w:rFonts w:ascii="Calibri" w:hAnsi="Calibri"/>
                <w:color w:val="444444"/>
              </w:rPr>
              <w:t>s výjimkou pořádkových pokut a pokut za nesplnění povinnosti nepeněžité povahy, se neuplatňují.</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16" w:name="pf12"/>
      <w:r>
        <w:rPr>
          <w:rFonts w:ascii="Calibri" w:hAnsi="Calibri"/>
          <w:b/>
          <w:color w:val="BA3347"/>
          <w:sz w:val="20"/>
        </w:rPr>
        <w:t>§ 12</w:t>
      </w:r>
    </w:p>
    <w:tbl>
      <w:tblPr>
        <w:tblW w:w="0" w:type="auto"/>
        <w:tblCellSpacing w:w="0" w:type="dxa"/>
        <w:tblLook w:val="04A0" w:firstRow="1" w:lastRow="0" w:firstColumn="1" w:lastColumn="0" w:noHBand="0" w:noVBand="1"/>
      </w:tblPr>
      <w:tblGrid>
        <w:gridCol w:w="337"/>
        <w:gridCol w:w="8720"/>
      </w:tblGrid>
      <w:tr w:rsidR="009646EB">
        <w:trPr>
          <w:trHeight w:val="30"/>
          <w:tblCellSpacing w:w="0" w:type="dxa"/>
        </w:trPr>
        <w:tc>
          <w:tcPr>
            <w:tcW w:w="380" w:type="dxa"/>
            <w:tcMar>
              <w:top w:w="30" w:type="dxa"/>
              <w:left w:w="15" w:type="dxa"/>
              <w:bottom w:w="15" w:type="dxa"/>
              <w:right w:w="15" w:type="dxa"/>
            </w:tcMar>
          </w:tcPr>
          <w:bookmarkEnd w:id="16"/>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Vznikne-li nedoplatek na poplatku poplatníkovi, který je ke dni splatnosti nezletilý a nenabyl plné svéprávnosti nebo který je ke dni splatnosti omez</w:t>
            </w:r>
            <w:r>
              <w:rPr>
                <w:rFonts w:ascii="Calibri" w:hAnsi="Calibri"/>
                <w:color w:val="444444"/>
              </w:rPr>
              <w:t>en ve svéprávnosti a byl mu jmenován opatrovník spravující jeho jmění, přechází poplatková povinnost tohoto poplatníka na zákonného zástupce nebo tohoto opatrovníka; zákonný zástupce nebo opatrovník má stejné procesní postavení jako poplatník.</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V přípa</w:t>
            </w:r>
            <w:r>
              <w:rPr>
                <w:rFonts w:ascii="Calibri" w:hAnsi="Calibri"/>
                <w:color w:val="444444"/>
              </w:rPr>
              <w:t>dě podle odstavce 1 vyměří obecní úřad poplatek zákonnému zástupci nebo opatrovníkovi poplatníka.</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Je-li zákonných zástupců nebo opatrovníků více, jsou povinni plnit poplatkovou povinnost společně a nerozdílně.</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17" w:name="pf13"/>
      <w:r>
        <w:rPr>
          <w:rFonts w:ascii="Calibri" w:hAnsi="Calibri"/>
          <w:b/>
          <w:color w:val="BA3347"/>
          <w:sz w:val="20"/>
        </w:rPr>
        <w:t>§ 13</w:t>
      </w:r>
    </w:p>
    <w:p w:rsidR="009646EB" w:rsidRDefault="00D85644">
      <w:pPr>
        <w:spacing w:after="60"/>
      </w:pPr>
      <w:r>
        <w:rPr>
          <w:rFonts w:ascii="Calibri" w:hAnsi="Calibri"/>
          <w:i/>
          <w:color w:val="444444"/>
        </w:rPr>
        <w:t>zrušen</w:t>
      </w:r>
    </w:p>
    <w:bookmarkEnd w:id="17"/>
    <w:p w:rsidR="009646EB" w:rsidRDefault="009646EB">
      <w:pPr>
        <w:pBdr>
          <w:top w:val="none" w:sz="0" w:space="4" w:color="auto"/>
          <w:right w:val="none" w:sz="0" w:space="4" w:color="auto"/>
        </w:pBdr>
        <w:spacing w:after="0"/>
        <w:jc w:val="right"/>
      </w:pPr>
    </w:p>
    <w:p w:rsidR="009646EB" w:rsidRDefault="00D85644">
      <w:pPr>
        <w:spacing w:after="0"/>
        <w:jc w:val="center"/>
      </w:pPr>
      <w:bookmarkStart w:id="18" w:name="pf14"/>
      <w:r>
        <w:rPr>
          <w:rFonts w:ascii="Calibri" w:hAnsi="Calibri"/>
          <w:b/>
          <w:color w:val="BA3347"/>
          <w:sz w:val="20"/>
        </w:rPr>
        <w:t>§ 14</w:t>
      </w:r>
    </w:p>
    <w:p w:rsidR="009646EB" w:rsidRDefault="00D85644">
      <w:pPr>
        <w:spacing w:after="0"/>
        <w:jc w:val="center"/>
      </w:pPr>
      <w:r>
        <w:rPr>
          <w:rFonts w:ascii="Calibri" w:hAnsi="Calibri"/>
          <w:b/>
          <w:color w:val="000000"/>
        </w:rPr>
        <w:t>[Místní příslušnost]</w:t>
      </w:r>
    </w:p>
    <w:tbl>
      <w:tblPr>
        <w:tblW w:w="0" w:type="auto"/>
        <w:tblCellSpacing w:w="0" w:type="dxa"/>
        <w:tblLook w:val="04A0" w:firstRow="1" w:lastRow="0" w:firstColumn="1" w:lastColumn="0" w:noHBand="0" w:noVBand="1"/>
      </w:tblPr>
      <w:tblGrid>
        <w:gridCol w:w="337"/>
        <w:gridCol w:w="8720"/>
      </w:tblGrid>
      <w:tr w:rsidR="009646EB">
        <w:trPr>
          <w:trHeight w:val="30"/>
          <w:tblCellSpacing w:w="0" w:type="dxa"/>
        </w:trPr>
        <w:tc>
          <w:tcPr>
            <w:tcW w:w="380" w:type="dxa"/>
            <w:tcMar>
              <w:top w:w="30" w:type="dxa"/>
              <w:left w:w="15" w:type="dxa"/>
              <w:bottom w:w="15" w:type="dxa"/>
              <w:right w:w="15" w:type="dxa"/>
            </w:tcMar>
          </w:tcPr>
          <w:bookmarkEnd w:id="18"/>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Stanovení poplatků patří do samostatné působnosti obce, která je ve svém území zavedla.</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Poplatky zavede obec obecně závaznou vyhláškou, ve které upraví podrobnosti jejich vybírání, zejména stanoví konkrétní sazbu poplatku, vznik a zánik poplatkové</w:t>
            </w:r>
            <w:r>
              <w:rPr>
                <w:rFonts w:ascii="Calibri" w:hAnsi="Calibri"/>
                <w:color w:val="444444"/>
              </w:rPr>
              <w:t xml:space="preserve"> povinnosti, lhůty pro plnění ohlašovací povinnosti, splatnost, úlevy a případné osvobození od poplatků. Obec může obecně závaznou vyhláškou upravit další způsob placení a jemu odpovídající den platby poplatku, než je způsob placení a den platby podle daňo</w:t>
            </w:r>
            <w:r>
              <w:rPr>
                <w:rFonts w:ascii="Calibri" w:hAnsi="Calibri"/>
                <w:color w:val="444444"/>
              </w:rPr>
              <w:t>vého řádu. U poplatku za užívání veřejného prostranství určí místa, která v obci podléhají poplatku za užívání veřejného prostranství.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Řízení o poplatcích vykonává obecní úřad.</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19" w:name="pf14a"/>
      <w:r>
        <w:rPr>
          <w:rFonts w:ascii="Calibri" w:hAnsi="Calibri"/>
          <w:b/>
          <w:color w:val="BA3347"/>
          <w:sz w:val="20"/>
        </w:rPr>
        <w:t>§ 14a</w:t>
      </w:r>
    </w:p>
    <w:p w:rsidR="009646EB" w:rsidRDefault="00D85644">
      <w:pPr>
        <w:spacing w:after="0"/>
        <w:jc w:val="center"/>
      </w:pPr>
      <w:r>
        <w:rPr>
          <w:rFonts w:ascii="Calibri" w:hAnsi="Calibri"/>
          <w:b/>
          <w:color w:val="000000"/>
        </w:rPr>
        <w:t>[Náležitosti ohlášení]</w:t>
      </w:r>
    </w:p>
    <w:tbl>
      <w:tblPr>
        <w:tblW w:w="0" w:type="auto"/>
        <w:tblCellSpacing w:w="0" w:type="dxa"/>
        <w:tblLook w:val="04A0" w:firstRow="1" w:lastRow="0" w:firstColumn="1" w:lastColumn="0" w:noHBand="0" w:noVBand="1"/>
      </w:tblPr>
      <w:tblGrid>
        <w:gridCol w:w="334"/>
        <w:gridCol w:w="8723"/>
      </w:tblGrid>
      <w:tr w:rsidR="009646EB">
        <w:trPr>
          <w:trHeight w:val="30"/>
          <w:tblCellSpacing w:w="0" w:type="dxa"/>
        </w:trPr>
        <w:tc>
          <w:tcPr>
            <w:tcW w:w="380" w:type="dxa"/>
            <w:tcMar>
              <w:top w:w="30" w:type="dxa"/>
              <w:left w:w="15" w:type="dxa"/>
              <w:bottom w:w="15" w:type="dxa"/>
              <w:right w:w="15" w:type="dxa"/>
            </w:tcMar>
          </w:tcPr>
          <w:bookmarkEnd w:id="19"/>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V ohlášení poplatník nebo plátce uvede</w:t>
            </w:r>
          </w:p>
          <w:tbl>
            <w:tblPr>
              <w:tblW w:w="0" w:type="auto"/>
              <w:tblCellSpacing w:w="0" w:type="dxa"/>
              <w:tblLook w:val="04A0" w:firstRow="1" w:lastRow="0" w:firstColumn="1" w:lastColumn="0" w:noHBand="0" w:noVBand="1"/>
            </w:tblPr>
            <w:tblGrid>
              <w:gridCol w:w="314"/>
              <w:gridCol w:w="8334"/>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jméno, popřípadě jména, a příjmení nebo název nebo obchodní firmu, obecný identifikátor , byl-li přidělen, místo pobytu nebo sídlo, místo podnikání, popřípadě další adresu pro doručování; právnická osoba uvede též osoby, které jsou jejím jménem oprávněn</w:t>
                  </w:r>
                  <w:r>
                    <w:rPr>
                      <w:rFonts w:ascii="Calibri" w:hAnsi="Calibri"/>
                      <w:color w:val="444444"/>
                    </w:rPr>
                    <w:t>y jednat v poplatkových věcech,</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čísla všech svých účtů u poskytovatelů platebních služeb, včetně poskytovatelů těchto služeb v zahraničí, užívaných v souvislosti s podnikatelskou činností, v případě, že předmět poplatku souvisí s podnikatelskou </w:t>
                  </w:r>
                  <w:r>
                    <w:rPr>
                      <w:rFonts w:ascii="Calibri" w:hAnsi="Calibri"/>
                      <w:color w:val="444444"/>
                    </w:rPr>
                    <w:t>činností poplatníka nebo plátce,</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údaje rozhodné pro stanovení výše poplatkové povinnosti.</w:t>
                  </w:r>
                </w:p>
              </w:tc>
            </w:tr>
          </w:tbl>
          <w:p w:rsidR="009646EB" w:rsidRDefault="009646EB"/>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Poplatník nebo plátce, který nemá sídlo nebo bydliště na území členského státu Evropské unie, jiného smluvního státu Dohody o Evropském hospodářském </w:t>
            </w:r>
            <w:r>
              <w:rPr>
                <w:rFonts w:ascii="Calibri" w:hAnsi="Calibri"/>
                <w:color w:val="444444"/>
              </w:rPr>
              <w:t>prostoru nebo Švýcarské konfederace, uvede kromě údajů požadovaných v odstavci 2 adresu svého zmocněnce v tuzemsku pro doručování.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Dojde-li ke změně údajů uvedených v ohlášení, je poplatník nebo plátce povinen tuto změnu oznámit do 15 dnů ode dne, kdy</w:t>
            </w:r>
            <w:r>
              <w:rPr>
                <w:rFonts w:ascii="Calibri" w:hAnsi="Calibri"/>
                <w:color w:val="444444"/>
              </w:rPr>
              <w:t xml:space="preserve"> nastala.</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V případě, že poplatník nesplní povinnost ohlásit údaj rozhodný pro osvobození nebo úlevu od poplatku ve lhůtě stanovené obecně závaznou vyhláškou nebo ve lhůtě podle odstavce 3, nárok na osvobození nebo úlevu od tohoto poplatku zaniká; za n</w:t>
            </w:r>
            <w:r>
              <w:rPr>
                <w:rFonts w:ascii="Calibri" w:hAnsi="Calibri"/>
                <w:color w:val="444444"/>
              </w:rPr>
              <w:t>esplnění této povinnosti nelze uložit pokutu za nesplnění povinnosti nepeněžité povahy.</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20" w:name="pf15"/>
      <w:r>
        <w:rPr>
          <w:rFonts w:ascii="Calibri" w:hAnsi="Calibri"/>
          <w:b/>
          <w:color w:val="BA3347"/>
          <w:sz w:val="20"/>
        </w:rPr>
        <w:t>§ 15</w:t>
      </w:r>
    </w:p>
    <w:p w:rsidR="009646EB" w:rsidRDefault="00D85644">
      <w:pPr>
        <w:spacing w:after="0"/>
        <w:jc w:val="center"/>
      </w:pPr>
      <w:r>
        <w:rPr>
          <w:rFonts w:ascii="Calibri" w:hAnsi="Calibri"/>
          <w:b/>
          <w:color w:val="000000"/>
        </w:rPr>
        <w:t>[Zmocňovací ustanovení]</w:t>
      </w:r>
    </w:p>
    <w:bookmarkEnd w:id="20"/>
    <w:p w:rsidR="009646EB" w:rsidRDefault="00D85644">
      <w:pPr>
        <w:spacing w:after="60"/>
        <w:jc w:val="both"/>
      </w:pPr>
      <w:r>
        <w:rPr>
          <w:rFonts w:ascii="Calibri" w:hAnsi="Calibri"/>
          <w:color w:val="444444"/>
          <w:sz w:val="20"/>
        </w:rPr>
        <w:t>Působnost stanovená obecnímu úřadu podle tohoto zákona je výkonem přenesené působnosti.</w:t>
      </w:r>
    </w:p>
    <w:p w:rsidR="009646EB" w:rsidRDefault="009646EB">
      <w:pPr>
        <w:pBdr>
          <w:top w:val="none" w:sz="0" w:space="4" w:color="auto"/>
          <w:right w:val="none" w:sz="0" w:space="4" w:color="auto"/>
        </w:pBdr>
        <w:spacing w:after="0"/>
        <w:jc w:val="right"/>
      </w:pPr>
    </w:p>
    <w:p w:rsidR="009646EB" w:rsidRDefault="00D85644">
      <w:pPr>
        <w:spacing w:after="0"/>
        <w:jc w:val="center"/>
      </w:pPr>
      <w:bookmarkStart w:id="21" w:name="pf16"/>
      <w:r>
        <w:rPr>
          <w:rFonts w:ascii="Calibri" w:hAnsi="Calibri"/>
          <w:b/>
          <w:color w:val="BA3347"/>
          <w:sz w:val="20"/>
        </w:rPr>
        <w:t>§ 16</w:t>
      </w:r>
    </w:p>
    <w:tbl>
      <w:tblPr>
        <w:tblW w:w="0" w:type="auto"/>
        <w:tblCellSpacing w:w="0" w:type="dxa"/>
        <w:tblLook w:val="04A0" w:firstRow="1" w:lastRow="0" w:firstColumn="1" w:lastColumn="0" w:noHBand="0" w:noVBand="1"/>
      </w:tblPr>
      <w:tblGrid>
        <w:gridCol w:w="335"/>
        <w:gridCol w:w="8722"/>
      </w:tblGrid>
      <w:tr w:rsidR="009646EB">
        <w:trPr>
          <w:trHeight w:val="30"/>
          <w:tblCellSpacing w:w="0" w:type="dxa"/>
        </w:trPr>
        <w:tc>
          <w:tcPr>
            <w:tcW w:w="380" w:type="dxa"/>
            <w:tcMar>
              <w:top w:w="30" w:type="dxa"/>
              <w:left w:w="15" w:type="dxa"/>
              <w:bottom w:w="15" w:type="dxa"/>
              <w:right w:w="15" w:type="dxa"/>
            </w:tcMar>
          </w:tcPr>
          <w:bookmarkEnd w:id="21"/>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Obecní úřad a krajský úřad využívají </w:t>
            </w:r>
            <w:r>
              <w:rPr>
                <w:rFonts w:ascii="Calibri" w:hAnsi="Calibri"/>
                <w:color w:val="444444"/>
              </w:rPr>
              <w:t>pro účely řízení o místních poplatcích</w:t>
            </w:r>
          </w:p>
          <w:tbl>
            <w:tblPr>
              <w:tblW w:w="0" w:type="auto"/>
              <w:tblCellSpacing w:w="0" w:type="dxa"/>
              <w:tblLook w:val="04A0" w:firstRow="1" w:lastRow="0" w:firstColumn="1" w:lastColumn="0" w:noHBand="0" w:noVBand="1"/>
            </w:tblPr>
            <w:tblGrid>
              <w:gridCol w:w="315"/>
              <w:gridCol w:w="8332"/>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referenční údaje ze základního registru obyvatel,</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údaje z informačního systému evidence obyvatel,</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údaje z informačního systému cizinců.</w:t>
                  </w:r>
                </w:p>
              </w:tc>
            </w:tr>
          </w:tbl>
          <w:p w:rsidR="009646EB" w:rsidRDefault="009646EB"/>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Využívanými údaji podle odstavce 1 písm. a) jsou</w:t>
            </w:r>
          </w:p>
          <w:tbl>
            <w:tblPr>
              <w:tblW w:w="0" w:type="auto"/>
              <w:tblCellSpacing w:w="0" w:type="dxa"/>
              <w:tblLook w:val="04A0" w:firstRow="1" w:lastRow="0" w:firstColumn="1" w:lastColumn="0" w:noHBand="0" w:noVBand="1"/>
            </w:tblPr>
            <w:tblGrid>
              <w:gridCol w:w="316"/>
              <w:gridCol w:w="8331"/>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příjmení,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jméno, popřípadě jména,</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adresa místa pobytu,</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datum, místo a okres narození; u subjektu údajů, který se narodil v cizině, datum, místo a stát, kde se narodil,</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datum, místo a okres úmrtí; jde-li o úmrtí subjektu údajů mimo území České republik</w:t>
                  </w:r>
                  <w:r>
                    <w:rPr>
                      <w:rFonts w:ascii="Calibri" w:hAnsi="Calibri"/>
                      <w:color w:val="444444"/>
                    </w:rPr>
                    <w:t xml:space="preserve">y, </w:t>
                  </w:r>
                  <w:r>
                    <w:rPr>
                      <w:rFonts w:ascii="Calibri" w:hAnsi="Calibri"/>
                      <w:color w:val="444444"/>
                    </w:rPr>
                    <w:lastRenderedPageBreak/>
                    <w:t>datum úmrtí, místo a stát, na jehož území k úmrtí došlo; je-li vydáno rozhodnutí soudu o prohlášení za mrtvého, den, který je v rozhodnutí uveden jako den smrti, popřípadě jako den, který nepřežil, a datum nabytí právní moci tohoto rozhodnutí,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lastRenderedPageBreak/>
                    <w:t>f)</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státn</w:t>
                  </w:r>
                  <w:r>
                    <w:rPr>
                      <w:rFonts w:ascii="Calibri" w:hAnsi="Calibri"/>
                      <w:color w:val="444444"/>
                    </w:rPr>
                    <w:t>í občanství, popřípadě více státních občanství.</w:t>
                  </w:r>
                </w:p>
              </w:tc>
            </w:tr>
          </w:tbl>
          <w:p w:rsidR="009646EB" w:rsidRDefault="009646EB"/>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Využívanými údaji podle odstavce 1 písm. b) jsou</w:t>
            </w:r>
          </w:p>
          <w:tbl>
            <w:tblPr>
              <w:tblW w:w="0" w:type="auto"/>
              <w:tblCellSpacing w:w="0" w:type="dxa"/>
              <w:tblLook w:val="04A0" w:firstRow="1" w:lastRow="0" w:firstColumn="1" w:lastColumn="0" w:noHBand="0" w:noVBand="1"/>
            </w:tblPr>
            <w:tblGrid>
              <w:gridCol w:w="317"/>
              <w:gridCol w:w="8330"/>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jméno, popřípadě jména, příjmení, rodné příjmení,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datum narození,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místo a okres narození, v případě narození v cizině místo a stát,</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rodné</w:t>
                  </w:r>
                  <w:r>
                    <w:rPr>
                      <w:rFonts w:ascii="Calibri" w:hAnsi="Calibri"/>
                      <w:color w:val="444444"/>
                    </w:rPr>
                    <w:t xml:space="preserve"> číslo,</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státní občanství, popřípadě více státních občanství,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adresa místa trvalého pobytu,</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počátek trvalého pobytu, popřípadě datum zrušení údaje o místu trvalého pobytu nebo datum ukončení trvalého pobytu na území České republiky,</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jméno, p</w:t>
                  </w:r>
                  <w:r>
                    <w:rPr>
                      <w:rFonts w:ascii="Calibri" w:hAnsi="Calibri"/>
                      <w:color w:val="444444"/>
                    </w:rPr>
                    <w:t>opřípadě jména, příjmení, rodné příjmení a adresa místa pobytu zákonných zástupců.</w:t>
                  </w:r>
                </w:p>
              </w:tc>
            </w:tr>
          </w:tbl>
          <w:p w:rsidR="009646EB" w:rsidRDefault="009646EB"/>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Využívanými údaji podle odstavce 1 písm. c) jsou</w:t>
            </w:r>
          </w:p>
          <w:tbl>
            <w:tblPr>
              <w:tblW w:w="0" w:type="auto"/>
              <w:tblCellSpacing w:w="0" w:type="dxa"/>
              <w:tblLook w:val="04A0" w:firstRow="1" w:lastRow="0" w:firstColumn="1" w:lastColumn="0" w:noHBand="0" w:noVBand="1"/>
            </w:tblPr>
            <w:tblGrid>
              <w:gridCol w:w="317"/>
              <w:gridCol w:w="8330"/>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jméno, popřípadě jména, příjmení, rodné příjmení,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datum narození,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rodné číslo,</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místo a stát, kde se </w:t>
                  </w:r>
                  <w:r>
                    <w:rPr>
                      <w:rFonts w:ascii="Calibri" w:hAnsi="Calibri"/>
                      <w:color w:val="444444"/>
                    </w:rPr>
                    <w:t>cizinec narodil; v případě, že se cizinec narodil na území České republiky, místo a okres narození,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státní občanství, popřípadě více státních občanství,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druh a adresa místa pobytu na území České republiky,</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počátek pobytu, případně datum ukončen</w:t>
                  </w:r>
                  <w:r>
                    <w:rPr>
                      <w:rFonts w:ascii="Calibri" w:hAnsi="Calibri"/>
                      <w:color w:val="444444"/>
                    </w:rPr>
                    <w:t>í pobytu.</w:t>
                  </w:r>
                </w:p>
              </w:tc>
            </w:tr>
          </w:tbl>
          <w:p w:rsidR="009646EB" w:rsidRDefault="009646EB"/>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Z údajů podle odstavců 1 až 4 lze v konkrétním případě použít vždy jen takové údaje, které jsou nezbytné ke splnění daného úkolu. Údaje, které jsou vedeny jako referenční údaje v základním registru obyvatel, se využijí z informačního </w:t>
            </w:r>
            <w:r>
              <w:rPr>
                <w:rFonts w:ascii="Calibri" w:hAnsi="Calibri"/>
                <w:color w:val="444444"/>
              </w:rPr>
              <w:t>systému evidence obyvatel nebo informačního systému cizinců, pouze pokud jsou ve tvaru předcházejícím současný stav.</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22" w:name="pf16a"/>
      <w:r>
        <w:rPr>
          <w:rFonts w:ascii="Calibri" w:hAnsi="Calibri"/>
          <w:b/>
          <w:color w:val="BA3347"/>
          <w:sz w:val="20"/>
        </w:rPr>
        <w:t>§ 16a</w:t>
      </w:r>
    </w:p>
    <w:bookmarkEnd w:id="22"/>
    <w:p w:rsidR="009646EB" w:rsidRDefault="00D85644">
      <w:pPr>
        <w:spacing w:after="60"/>
        <w:jc w:val="both"/>
      </w:pPr>
      <w:r>
        <w:rPr>
          <w:rFonts w:ascii="Calibri" w:hAnsi="Calibri"/>
          <w:color w:val="444444"/>
          <w:sz w:val="20"/>
        </w:rPr>
        <w:t>Obecní úřad může na žádost poplatníka z důvodu odstranění tvrdosti právního předpisu zcela nebo částečně prominout poplatek podle §</w:t>
      </w:r>
      <w:r>
        <w:rPr>
          <w:rFonts w:ascii="Calibri" w:hAnsi="Calibri"/>
          <w:color w:val="444444"/>
          <w:sz w:val="20"/>
        </w:rPr>
        <w:t> 10b nebo jeho příslušenství, lze-li to s přihlédnutím k okolnostem daného případu ospravedlnit.</w:t>
      </w:r>
    </w:p>
    <w:p w:rsidR="009646EB" w:rsidRDefault="009646EB">
      <w:pPr>
        <w:pBdr>
          <w:top w:val="none" w:sz="0" w:space="4" w:color="auto"/>
          <w:right w:val="none" w:sz="0" w:space="4" w:color="auto"/>
        </w:pBdr>
        <w:spacing w:after="0"/>
        <w:jc w:val="right"/>
      </w:pPr>
    </w:p>
    <w:p w:rsidR="009646EB" w:rsidRDefault="00D85644">
      <w:pPr>
        <w:spacing w:after="0"/>
        <w:jc w:val="center"/>
      </w:pPr>
      <w:bookmarkStart w:id="23" w:name="pf16b"/>
      <w:r>
        <w:rPr>
          <w:rFonts w:ascii="Calibri" w:hAnsi="Calibri"/>
          <w:b/>
          <w:color w:val="BA3347"/>
          <w:sz w:val="20"/>
        </w:rPr>
        <w:t>§ 16b</w:t>
      </w:r>
    </w:p>
    <w:tbl>
      <w:tblPr>
        <w:tblW w:w="0" w:type="auto"/>
        <w:tblCellSpacing w:w="0" w:type="dxa"/>
        <w:tblLook w:val="04A0" w:firstRow="1" w:lastRow="0" w:firstColumn="1" w:lastColumn="0" w:noHBand="0" w:noVBand="1"/>
      </w:tblPr>
      <w:tblGrid>
        <w:gridCol w:w="336"/>
        <w:gridCol w:w="8721"/>
      </w:tblGrid>
      <w:tr w:rsidR="009646EB">
        <w:trPr>
          <w:trHeight w:val="30"/>
          <w:tblCellSpacing w:w="0" w:type="dxa"/>
        </w:trPr>
        <w:tc>
          <w:tcPr>
            <w:tcW w:w="380" w:type="dxa"/>
            <w:tcMar>
              <w:top w:w="30" w:type="dxa"/>
              <w:left w:w="15" w:type="dxa"/>
              <w:bottom w:w="15" w:type="dxa"/>
              <w:right w:w="15" w:type="dxa"/>
            </w:tcMar>
          </w:tcPr>
          <w:bookmarkEnd w:id="23"/>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Obecní úřad může z moci úřední poplatek nebo jeho příslušenství zcela nebo částečně prominout při mimořádných, zejména živelních událostech.</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Rozhodnutím podle odstavce 1 se promíjí poplatek všem poplatníkům, jichž se důvod prominutí týká, a to ode dne právní moci tohoto rozhodnutí.</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Rozhodnutí oznamuje obecní úřad vyvěšením na své úřední desce a zároveň ho zveřejní způsobem umožňujícím </w:t>
            </w:r>
            <w:r>
              <w:rPr>
                <w:rFonts w:ascii="Calibri" w:hAnsi="Calibri"/>
                <w:color w:val="444444"/>
              </w:rPr>
              <w:t>dálkový přístup.</w:t>
            </w:r>
          </w:p>
        </w:tc>
      </w:tr>
    </w:tbl>
    <w:p w:rsidR="009646EB" w:rsidRDefault="009646EB">
      <w:pPr>
        <w:pBdr>
          <w:top w:val="none" w:sz="0" w:space="4" w:color="auto"/>
          <w:right w:val="none" w:sz="0" w:space="4" w:color="auto"/>
        </w:pBdr>
        <w:spacing w:after="0"/>
        <w:jc w:val="right"/>
      </w:pPr>
    </w:p>
    <w:p w:rsidR="009646EB" w:rsidRDefault="00D85644">
      <w:pPr>
        <w:spacing w:after="0"/>
        <w:jc w:val="center"/>
      </w:pPr>
      <w:bookmarkStart w:id="24" w:name="pf17"/>
      <w:r>
        <w:rPr>
          <w:rFonts w:ascii="Calibri" w:hAnsi="Calibri"/>
          <w:b/>
          <w:color w:val="BA3347"/>
          <w:sz w:val="20"/>
        </w:rPr>
        <w:t>§ 17</w:t>
      </w:r>
    </w:p>
    <w:p w:rsidR="009646EB" w:rsidRDefault="00D85644">
      <w:pPr>
        <w:spacing w:after="0"/>
        <w:jc w:val="center"/>
      </w:pPr>
      <w:r>
        <w:rPr>
          <w:rFonts w:ascii="Calibri" w:hAnsi="Calibri"/>
          <w:b/>
          <w:color w:val="000000"/>
        </w:rPr>
        <w:t>[Derogační ustanovení]</w:t>
      </w:r>
    </w:p>
    <w:bookmarkEnd w:id="24"/>
    <w:p w:rsidR="009646EB" w:rsidRDefault="00D85644">
      <w:pPr>
        <w:spacing w:after="60"/>
        <w:jc w:val="both"/>
      </w:pPr>
      <w:r>
        <w:rPr>
          <w:rFonts w:ascii="Calibri" w:hAnsi="Calibri"/>
          <w:color w:val="444444"/>
          <w:sz w:val="20"/>
        </w:rPr>
        <w:t>Zrušují se:</w:t>
      </w:r>
    </w:p>
    <w:tbl>
      <w:tblPr>
        <w:tblW w:w="0" w:type="auto"/>
        <w:tblCellSpacing w:w="0" w:type="dxa"/>
        <w:tblLook w:val="04A0" w:firstRow="1" w:lastRow="0" w:firstColumn="1" w:lastColumn="0" w:noHBand="0" w:noVBand="1"/>
      </w:tblPr>
      <w:tblGrid>
        <w:gridCol w:w="311"/>
        <w:gridCol w:w="8746"/>
      </w:tblGrid>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Pro území České republiky zákon č. </w:t>
            </w:r>
            <w:hyperlink r:id="rId8">
              <w:r>
                <w:rPr>
                  <w:rFonts w:ascii="Calibri" w:hAnsi="Calibri"/>
                  <w:color w:val="853536"/>
                </w:rPr>
                <w:t>82/1952 Sb.</w:t>
              </w:r>
            </w:hyperlink>
            <w:r>
              <w:rPr>
                <w:rFonts w:ascii="Calibri" w:hAnsi="Calibri"/>
                <w:color w:val="444444"/>
              </w:rPr>
              <w:t>, o místních poplatcích.</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 xml:space="preserve">Pro území České </w:t>
            </w:r>
            <w:r>
              <w:rPr>
                <w:rFonts w:ascii="Calibri" w:hAnsi="Calibri"/>
                <w:color w:val="444444"/>
              </w:rPr>
              <w:t>republiky vyhláška ministerstva financí č. </w:t>
            </w:r>
            <w:hyperlink r:id="rId9">
              <w:r>
                <w:rPr>
                  <w:rFonts w:ascii="Calibri" w:hAnsi="Calibri"/>
                  <w:color w:val="853536"/>
                </w:rPr>
                <w:t>67/1966 Sb.</w:t>
              </w:r>
            </w:hyperlink>
            <w:r>
              <w:rPr>
                <w:rFonts w:ascii="Calibri" w:hAnsi="Calibri"/>
                <w:color w:val="444444"/>
              </w:rPr>
              <w:t>, o místních poplatcích.</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Vyhláška ministerstva financí, cen a mezd České socialistické republiky č. </w:t>
            </w:r>
            <w:hyperlink r:id="rId10">
              <w:r>
                <w:rPr>
                  <w:rFonts w:ascii="Calibri" w:hAnsi="Calibri"/>
                  <w:color w:val="853536"/>
                </w:rPr>
                <w:t>216/1988 Sb.</w:t>
              </w:r>
            </w:hyperlink>
            <w:r>
              <w:rPr>
                <w:rFonts w:ascii="Calibri" w:hAnsi="Calibri"/>
                <w:color w:val="444444"/>
              </w:rPr>
              <w:t>, o místním poplatku ze psů a o lázeňském poplatku.</w:t>
            </w:r>
          </w:p>
        </w:tc>
      </w:tr>
      <w:tr w:rsidR="009646EB">
        <w:trPr>
          <w:trHeight w:val="30"/>
          <w:tblCellSpacing w:w="0" w:type="dxa"/>
        </w:trPr>
        <w:tc>
          <w:tcPr>
            <w:tcW w:w="380" w:type="dxa"/>
            <w:tcMar>
              <w:top w:w="30" w:type="dxa"/>
              <w:left w:w="15" w:type="dxa"/>
              <w:bottom w:w="15" w:type="dxa"/>
              <w:right w:w="15" w:type="dxa"/>
            </w:tcMar>
          </w:tcPr>
          <w:p w:rsidR="009646EB" w:rsidRDefault="00D85644">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9646EB" w:rsidRDefault="00D85644">
            <w:pPr>
              <w:spacing w:after="60"/>
              <w:jc w:val="both"/>
            </w:pPr>
            <w:r>
              <w:rPr>
                <w:rFonts w:ascii="Calibri" w:hAnsi="Calibri"/>
                <w:color w:val="444444"/>
              </w:rPr>
              <w:t>Vyhláška ministerstva financí, cen a mezd České socialistické republiky č. </w:t>
            </w:r>
            <w:hyperlink r:id="rId11">
              <w:r>
                <w:rPr>
                  <w:rFonts w:ascii="Calibri" w:hAnsi="Calibri"/>
                  <w:color w:val="853536"/>
                </w:rPr>
                <w:t>7/1989 Sb.</w:t>
              </w:r>
            </w:hyperlink>
            <w:r>
              <w:rPr>
                <w:rFonts w:ascii="Calibri" w:hAnsi="Calibri"/>
                <w:color w:val="444444"/>
              </w:rPr>
              <w:t>, o některých místních poplatcích vybíraných v Krkonošském národním parku.</w:t>
            </w:r>
          </w:p>
        </w:tc>
      </w:tr>
    </w:tbl>
    <w:p w:rsidR="009646EB" w:rsidRDefault="009646EB">
      <w:pPr>
        <w:pBdr>
          <w:top w:val="none" w:sz="0" w:space="4" w:color="auto"/>
          <w:right w:val="none" w:sz="0" w:space="4" w:color="auto"/>
        </w:pBdr>
        <w:spacing w:after="0"/>
        <w:jc w:val="right"/>
      </w:pPr>
      <w:bookmarkStart w:id="25" w:name="document_fragment_onrf6mjzheyf6njwguxhaz"/>
    </w:p>
    <w:p w:rsidR="009646EB" w:rsidRDefault="00D85644">
      <w:pPr>
        <w:spacing w:after="0"/>
        <w:jc w:val="center"/>
      </w:pPr>
      <w:bookmarkStart w:id="26" w:name="pf18"/>
      <w:r>
        <w:rPr>
          <w:rFonts w:ascii="Calibri" w:hAnsi="Calibri"/>
          <w:b/>
          <w:color w:val="BA3347"/>
          <w:sz w:val="20"/>
        </w:rPr>
        <w:t>§ 18</w:t>
      </w:r>
    </w:p>
    <w:p w:rsidR="009646EB" w:rsidRDefault="00D85644">
      <w:pPr>
        <w:spacing w:after="0"/>
        <w:jc w:val="center"/>
      </w:pPr>
      <w:r>
        <w:rPr>
          <w:rFonts w:ascii="Calibri" w:hAnsi="Calibri"/>
          <w:b/>
          <w:color w:val="000000"/>
        </w:rPr>
        <w:t>[Účinnost]</w:t>
      </w:r>
    </w:p>
    <w:bookmarkEnd w:id="26"/>
    <w:p w:rsidR="009646EB" w:rsidRDefault="00D85644">
      <w:pPr>
        <w:spacing w:after="60"/>
        <w:jc w:val="both"/>
      </w:pPr>
      <w:r>
        <w:rPr>
          <w:rFonts w:ascii="Calibri" w:hAnsi="Calibri"/>
          <w:color w:val="444444"/>
          <w:sz w:val="20"/>
        </w:rPr>
        <w:t>Tento zákon nabývá účinnosti dnem 1. ledna 1991.</w:t>
      </w:r>
    </w:p>
    <w:bookmarkEnd w:id="25"/>
    <w:p w:rsidR="009646EB" w:rsidRDefault="00D85644">
      <w:pPr>
        <w:spacing w:after="60"/>
        <w:jc w:val="center"/>
      </w:pPr>
      <w:r>
        <w:rPr>
          <w:rFonts w:ascii="Calibri" w:hAnsi="Calibri"/>
          <w:b/>
          <w:color w:val="444444"/>
        </w:rPr>
        <w:t>Burešová</w:t>
      </w:r>
      <w:r>
        <w:rPr>
          <w:rFonts w:ascii="Calibri" w:hAnsi="Calibri"/>
          <w:color w:val="444444"/>
        </w:rPr>
        <w:t xml:space="preserve"> v. r.</w:t>
      </w:r>
    </w:p>
    <w:p w:rsidR="009646EB" w:rsidRDefault="00D85644">
      <w:pPr>
        <w:spacing w:after="60"/>
        <w:jc w:val="center"/>
      </w:pPr>
      <w:r>
        <w:rPr>
          <w:rFonts w:ascii="Calibri" w:hAnsi="Calibri"/>
          <w:b/>
          <w:color w:val="444444"/>
        </w:rPr>
        <w:t>Pithart</w:t>
      </w:r>
      <w:r>
        <w:rPr>
          <w:rFonts w:ascii="Calibri" w:hAnsi="Calibri"/>
          <w:color w:val="444444"/>
        </w:rPr>
        <w:t xml:space="preserve"> v. r.</w:t>
      </w:r>
    </w:p>
    <w:p w:rsidR="009646EB" w:rsidRDefault="009646EB">
      <w:pPr>
        <w:pBdr>
          <w:top w:val="none" w:sz="0" w:space="4" w:color="auto"/>
          <w:right w:val="none" w:sz="0" w:space="4" w:color="auto"/>
        </w:pBdr>
        <w:spacing w:after="0"/>
        <w:jc w:val="right"/>
      </w:pPr>
      <w:bookmarkStart w:id="27" w:name="document_fragment_onrf6mjzheyf6njwguxha5"/>
    </w:p>
    <w:p w:rsidR="009646EB" w:rsidRDefault="00D85644">
      <w:pPr>
        <w:pBdr>
          <w:bottom w:val="none" w:sz="0" w:space="11" w:color="auto"/>
        </w:pBdr>
        <w:spacing w:after="0"/>
      </w:pPr>
      <w:r>
        <w:rPr>
          <w:rFonts w:ascii="Calibri" w:hAnsi="Calibri"/>
          <w:b/>
          <w:color w:val="000000"/>
        </w:rPr>
        <w:t>Přechodná ustanovení novel:</w:t>
      </w:r>
    </w:p>
    <w:tbl>
      <w:tblPr>
        <w:tblW w:w="0" w:type="auto"/>
        <w:tblCellSpacing w:w="20" w:type="dxa"/>
        <w:tblInd w:w="3993" w:type="dxa"/>
        <w:tblLook w:val="04A0" w:firstRow="1" w:lastRow="0" w:firstColumn="1" w:lastColumn="0" w:noHBand="0" w:noVBand="1"/>
      </w:tblPr>
      <w:tblGrid>
        <w:gridCol w:w="281"/>
        <w:gridCol w:w="40"/>
        <w:gridCol w:w="1488"/>
        <w:gridCol w:w="1379"/>
        <w:gridCol w:w="2016"/>
      </w:tblGrid>
      <w:tr w:rsidR="009646EB">
        <w:trPr>
          <w:gridBefore w:val="2"/>
          <w:gridAfter w:val="1"/>
          <w:wAfter w:w="3934" w:type="dxa"/>
          <w:trHeight w:val="90"/>
          <w:tblCellSpacing w:w="20" w:type="dxa"/>
        </w:trPr>
        <w:tc>
          <w:tcPr>
            <w:tcW w:w="3265" w:type="dxa"/>
            <w:tcMar>
              <w:top w:w="45" w:type="dxa"/>
              <w:left w:w="45" w:type="dxa"/>
              <w:bottom w:w="45" w:type="dxa"/>
              <w:right w:w="45" w:type="dxa"/>
            </w:tcMar>
          </w:tcPr>
          <w:p w:rsidR="009646EB" w:rsidRDefault="009646EB">
            <w:pPr>
              <w:spacing w:after="60"/>
              <w:jc w:val="both"/>
            </w:pPr>
          </w:p>
        </w:tc>
        <w:tc>
          <w:tcPr>
            <w:tcW w:w="1662" w:type="dxa"/>
            <w:tcMar>
              <w:top w:w="45" w:type="dxa"/>
              <w:left w:w="300" w:type="dxa"/>
              <w:bottom w:w="45" w:type="dxa"/>
              <w:right w:w="45" w:type="dxa"/>
            </w:tcMar>
          </w:tcPr>
          <w:p w:rsidR="009646EB" w:rsidRDefault="00D85644">
            <w:pPr>
              <w:spacing w:after="0"/>
              <w:jc w:val="right"/>
            </w:pPr>
            <w:r>
              <w:rPr>
                <w:rFonts w:ascii="Calibri" w:hAnsi="Calibri"/>
                <w:b/>
                <w:color w:val="000000"/>
                <w:sz w:val="20"/>
              </w:rPr>
              <w:t>účinné od</w:t>
            </w:r>
          </w:p>
        </w:tc>
      </w:tr>
      <w:tr w:rsidR="009646EB">
        <w:trPr>
          <w:gridBefore w:val="2"/>
          <w:gridAfter w:val="1"/>
          <w:wAfter w:w="3934" w:type="dxa"/>
          <w:trHeight w:val="30"/>
          <w:tblCellSpacing w:w="20" w:type="dxa"/>
        </w:trPr>
        <w:tc>
          <w:tcPr>
            <w:tcW w:w="3265" w:type="dxa"/>
            <w:tcMar>
              <w:top w:w="15" w:type="dxa"/>
              <w:left w:w="15" w:type="dxa"/>
              <w:bottom w:w="15" w:type="dxa"/>
              <w:right w:w="15" w:type="dxa"/>
            </w:tcMar>
            <w:vAlign w:val="center"/>
          </w:tcPr>
          <w:p w:rsidR="009646EB" w:rsidRDefault="00D85644">
            <w:pPr>
              <w:spacing w:after="0"/>
              <w:jc w:val="right"/>
            </w:pPr>
            <w:hyperlink r:id="rId12">
              <w:r>
                <w:rPr>
                  <w:rFonts w:ascii="Calibri" w:hAnsi="Calibri"/>
                  <w:color w:val="853536"/>
                  <w:sz w:val="20"/>
                </w:rPr>
                <w:t>Čl. VIII. zákona č. 170/2017 Sb.</w:t>
              </w:r>
            </w:hyperlink>
          </w:p>
        </w:tc>
        <w:tc>
          <w:tcPr>
            <w:tcW w:w="1662" w:type="dxa"/>
            <w:tcMar>
              <w:top w:w="15" w:type="dxa"/>
              <w:left w:w="300" w:type="dxa"/>
              <w:bottom w:w="15" w:type="dxa"/>
              <w:right w:w="15" w:type="dxa"/>
            </w:tcMar>
            <w:vAlign w:val="center"/>
          </w:tcPr>
          <w:p w:rsidR="009646EB" w:rsidRDefault="00D85644">
            <w:pPr>
              <w:spacing w:after="0"/>
              <w:jc w:val="right"/>
            </w:pPr>
            <w:r>
              <w:rPr>
                <w:rFonts w:ascii="Calibri" w:hAnsi="Calibri"/>
                <w:color w:val="000000"/>
                <w:sz w:val="20"/>
              </w:rPr>
              <w:t>1.7.2017</w:t>
            </w:r>
          </w:p>
        </w:tc>
      </w:tr>
      <w:tr w:rsidR="009646EB">
        <w:trPr>
          <w:gridBefore w:val="2"/>
          <w:gridAfter w:val="1"/>
          <w:wAfter w:w="3934" w:type="dxa"/>
          <w:trHeight w:val="30"/>
          <w:tblCellSpacing w:w="20" w:type="dxa"/>
        </w:trPr>
        <w:tc>
          <w:tcPr>
            <w:tcW w:w="3265" w:type="dxa"/>
            <w:tcMar>
              <w:top w:w="15" w:type="dxa"/>
              <w:left w:w="15" w:type="dxa"/>
              <w:bottom w:w="15" w:type="dxa"/>
              <w:right w:w="15" w:type="dxa"/>
            </w:tcMar>
            <w:vAlign w:val="center"/>
          </w:tcPr>
          <w:p w:rsidR="009646EB" w:rsidRDefault="00D85644">
            <w:pPr>
              <w:spacing w:after="0"/>
              <w:jc w:val="right"/>
            </w:pPr>
            <w:hyperlink r:id="rId13">
              <w:r>
                <w:rPr>
                  <w:rFonts w:ascii="Calibri" w:hAnsi="Calibri"/>
                  <w:color w:val="853536"/>
                  <w:sz w:val="20"/>
                </w:rPr>
                <w:t>Čl. II. zákona č. 266/2015 Sb.</w:t>
              </w:r>
            </w:hyperlink>
          </w:p>
        </w:tc>
        <w:tc>
          <w:tcPr>
            <w:tcW w:w="1662" w:type="dxa"/>
            <w:tcMar>
              <w:top w:w="15" w:type="dxa"/>
              <w:left w:w="300" w:type="dxa"/>
              <w:bottom w:w="15" w:type="dxa"/>
              <w:right w:w="15" w:type="dxa"/>
            </w:tcMar>
            <w:vAlign w:val="center"/>
          </w:tcPr>
          <w:p w:rsidR="009646EB" w:rsidRDefault="00D85644">
            <w:pPr>
              <w:spacing w:after="0"/>
              <w:jc w:val="right"/>
            </w:pPr>
            <w:r>
              <w:rPr>
                <w:rFonts w:ascii="Calibri" w:hAnsi="Calibri"/>
                <w:color w:val="000000"/>
                <w:sz w:val="20"/>
              </w:rPr>
              <w:t>1.1.2016</w:t>
            </w:r>
          </w:p>
        </w:tc>
      </w:tr>
      <w:tr w:rsidR="009646EB">
        <w:trPr>
          <w:gridBefore w:val="2"/>
          <w:gridAfter w:val="1"/>
          <w:wAfter w:w="3934" w:type="dxa"/>
          <w:trHeight w:val="30"/>
          <w:tblCellSpacing w:w="20" w:type="dxa"/>
        </w:trPr>
        <w:tc>
          <w:tcPr>
            <w:tcW w:w="3265" w:type="dxa"/>
            <w:tcMar>
              <w:top w:w="15" w:type="dxa"/>
              <w:left w:w="15" w:type="dxa"/>
              <w:bottom w:w="15" w:type="dxa"/>
              <w:right w:w="15" w:type="dxa"/>
            </w:tcMar>
            <w:vAlign w:val="center"/>
          </w:tcPr>
          <w:p w:rsidR="009646EB" w:rsidRDefault="00D85644">
            <w:pPr>
              <w:spacing w:after="0"/>
              <w:jc w:val="right"/>
            </w:pPr>
            <w:hyperlink r:id="rId14">
              <w:r>
                <w:rPr>
                  <w:rFonts w:ascii="Calibri" w:hAnsi="Calibri"/>
                  <w:color w:val="853536"/>
                  <w:sz w:val="20"/>
                </w:rPr>
                <w:t>Čl II zákon</w:t>
              </w:r>
              <w:r>
                <w:rPr>
                  <w:rFonts w:ascii="Calibri" w:hAnsi="Calibri"/>
                  <w:color w:val="853536"/>
                  <w:sz w:val="20"/>
                </w:rPr>
                <w:t>a č. 266/2015 Sb.</w:t>
              </w:r>
            </w:hyperlink>
          </w:p>
        </w:tc>
        <w:tc>
          <w:tcPr>
            <w:tcW w:w="1662" w:type="dxa"/>
            <w:tcMar>
              <w:top w:w="15" w:type="dxa"/>
              <w:left w:w="300" w:type="dxa"/>
              <w:bottom w:w="15" w:type="dxa"/>
              <w:right w:w="15" w:type="dxa"/>
            </w:tcMar>
            <w:vAlign w:val="center"/>
          </w:tcPr>
          <w:p w:rsidR="009646EB" w:rsidRDefault="00D85644">
            <w:pPr>
              <w:spacing w:after="0"/>
              <w:jc w:val="right"/>
            </w:pPr>
            <w:r>
              <w:rPr>
                <w:rFonts w:ascii="Calibri" w:hAnsi="Calibri"/>
                <w:color w:val="000000"/>
                <w:sz w:val="20"/>
              </w:rPr>
              <w:t>29.10.2015</w:t>
            </w:r>
          </w:p>
        </w:tc>
      </w:tr>
      <w:tr w:rsidR="009646EB">
        <w:trPr>
          <w:gridBefore w:val="2"/>
          <w:gridAfter w:val="1"/>
          <w:wAfter w:w="3934" w:type="dxa"/>
          <w:trHeight w:val="30"/>
          <w:tblCellSpacing w:w="20" w:type="dxa"/>
        </w:trPr>
        <w:tc>
          <w:tcPr>
            <w:tcW w:w="3265" w:type="dxa"/>
            <w:tcMar>
              <w:top w:w="15" w:type="dxa"/>
              <w:left w:w="15" w:type="dxa"/>
              <w:bottom w:w="15" w:type="dxa"/>
              <w:right w:w="15" w:type="dxa"/>
            </w:tcMar>
            <w:vAlign w:val="center"/>
          </w:tcPr>
          <w:p w:rsidR="009646EB" w:rsidRDefault="00D85644">
            <w:pPr>
              <w:spacing w:after="60"/>
              <w:jc w:val="right"/>
            </w:pPr>
            <w:bookmarkStart w:id="28" w:name="spanPuVice"/>
            <w:r>
              <w:rPr>
                <w:rFonts w:ascii="Calibri" w:hAnsi="Calibri"/>
                <w:color w:val="873737"/>
              </w:rPr>
              <w:t>Více...</w:t>
            </w:r>
          </w:p>
        </w:tc>
        <w:bookmarkEnd w:id="28"/>
        <w:tc>
          <w:tcPr>
            <w:tcW w:w="1662" w:type="dxa"/>
            <w:tcMar>
              <w:top w:w="15" w:type="dxa"/>
              <w:left w:w="15" w:type="dxa"/>
              <w:bottom w:w="15" w:type="dxa"/>
              <w:right w:w="15" w:type="dxa"/>
            </w:tcMar>
            <w:vAlign w:val="center"/>
          </w:tcPr>
          <w:p w:rsidR="009646EB" w:rsidRDefault="009646EB">
            <w:pPr>
              <w:spacing w:after="60"/>
              <w:jc w:val="both"/>
            </w:pPr>
          </w:p>
        </w:tc>
      </w:tr>
      <w:bookmarkEnd w:id="27"/>
      <w:bookmarkEnd w:id="0"/>
      <w:tr w:rsidR="009646EB">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9646EB" w:rsidRDefault="00D85644">
            <w:pPr>
              <w:spacing w:after="0"/>
            </w:pPr>
            <w:r>
              <w:rPr>
                <w:rFonts w:ascii="Calibri" w:hAnsi="Calibri"/>
                <w:b/>
                <w:color w:val="000000"/>
                <w:sz w:val="20"/>
              </w:rPr>
              <w:t>Poznámky pod čarou:</w:t>
            </w:r>
          </w:p>
        </w:tc>
      </w:tr>
      <w:tr w:rsidR="009646EB">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9646EB" w:rsidRDefault="00D85644">
            <w:pPr>
              <w:spacing w:after="0"/>
            </w:pPr>
            <w:r>
              <w:rPr>
                <w:rFonts w:ascii="Calibri" w:hAnsi="Calibri"/>
                <w:color w:val="000000"/>
                <w:sz w:val="16"/>
              </w:rPr>
              <w:t>1</w:t>
            </w:r>
          </w:p>
        </w:tc>
        <w:bookmarkStart w:id="29" w:name="footnote_display_content_d1e966"/>
        <w:tc>
          <w:tcPr>
            <w:tcW w:w="12621" w:type="dxa"/>
            <w:gridSpan w:val="4"/>
            <w:tcMar>
              <w:top w:w="15" w:type="dxa"/>
              <w:left w:w="15" w:type="dxa"/>
              <w:bottom w:w="15" w:type="dxa"/>
              <w:right w:w="15" w:type="dxa"/>
            </w:tcMar>
          </w:tcPr>
          <w:p w:rsidR="009646EB" w:rsidRDefault="00D85644">
            <w:pPr>
              <w:pBdr>
                <w:left w:val="none" w:sz="0" w:space="8" w:color="auto"/>
              </w:pBdr>
              <w:spacing w:after="0"/>
            </w:pPr>
            <w:r>
              <w:fldChar w:fldCharType="begin"/>
            </w:r>
            <w:r>
              <w:instrText xml:space="preserve"> HYPERLINK "http://www.beck-online.cz/bo/document-view.seam?documentId=onrf6mjzhe2v6mrygqxhazrs" \h </w:instrText>
            </w:r>
            <w:r>
              <w:fldChar w:fldCharType="separate"/>
            </w:r>
            <w:r>
              <w:rPr>
                <w:rFonts w:ascii="Calibri" w:hAnsi="Calibri"/>
                <w:color w:val="853536"/>
                <w:sz w:val="16"/>
              </w:rPr>
              <w:t>§ 2</w:t>
            </w:r>
            <w:r>
              <w:rPr>
                <w:rFonts w:ascii="Calibri" w:hAnsi="Calibri"/>
                <w:color w:val="853536"/>
                <w:sz w:val="16"/>
              </w:rPr>
              <w:fldChar w:fldCharType="end"/>
            </w:r>
            <w:r>
              <w:rPr>
                <w:rFonts w:ascii="Calibri" w:hAnsi="Calibri"/>
                <w:color w:val="000000"/>
                <w:sz w:val="16"/>
              </w:rPr>
              <w:t xml:space="preserve"> vyhlášky č. 284/1995 Sb., kterou se provádí zákon o důchodovém pojištění.</w:t>
            </w:r>
          </w:p>
        </w:tc>
        <w:bookmarkEnd w:id="29"/>
      </w:tr>
      <w:tr w:rsidR="009646EB">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9646EB" w:rsidRDefault="00D85644">
            <w:pPr>
              <w:spacing w:after="0"/>
            </w:pPr>
            <w:r>
              <w:rPr>
                <w:rFonts w:ascii="Calibri" w:hAnsi="Calibri"/>
                <w:color w:val="000000"/>
                <w:sz w:val="16"/>
              </w:rPr>
              <w:t>1a</w:t>
            </w:r>
          </w:p>
        </w:tc>
        <w:tc>
          <w:tcPr>
            <w:tcW w:w="12621" w:type="dxa"/>
            <w:gridSpan w:val="4"/>
            <w:tcMar>
              <w:top w:w="15" w:type="dxa"/>
              <w:left w:w="15" w:type="dxa"/>
              <w:bottom w:w="15" w:type="dxa"/>
              <w:right w:w="15" w:type="dxa"/>
            </w:tcMar>
          </w:tcPr>
          <w:p w:rsidR="009646EB" w:rsidRDefault="00D85644">
            <w:pPr>
              <w:pBdr>
                <w:left w:val="none" w:sz="0" w:space="8" w:color="auto"/>
              </w:pBdr>
              <w:spacing w:after="0"/>
            </w:pPr>
            <w:bookmarkStart w:id="30" w:name="footnote_display_content_d1e979"/>
            <w:r>
              <w:rPr>
                <w:rFonts w:ascii="Calibri" w:hAnsi="Calibri"/>
                <w:color w:val="000000"/>
                <w:sz w:val="16"/>
              </w:rPr>
              <w:t xml:space="preserve">Zákon </w:t>
            </w:r>
            <w:r>
              <w:rPr>
                <w:rFonts w:ascii="Calibri" w:hAnsi="Calibri"/>
                <w:color w:val="000000"/>
                <w:sz w:val="16"/>
              </w:rPr>
              <w:t>č. </w:t>
            </w:r>
            <w:hyperlink r:id="rId15">
              <w:r>
                <w:rPr>
                  <w:rFonts w:ascii="Calibri" w:hAnsi="Calibri"/>
                  <w:color w:val="853536"/>
                  <w:sz w:val="16"/>
                </w:rPr>
                <w:t>329/2011 Sb.</w:t>
              </w:r>
            </w:hyperlink>
            <w:r>
              <w:rPr>
                <w:rFonts w:ascii="Calibri" w:hAnsi="Calibri"/>
                <w:color w:val="000000"/>
                <w:sz w:val="16"/>
              </w:rPr>
              <w:t>, o poskytování dávek osobám se zdravotním postižením a o změně souvisejících zákonů.</w:t>
            </w:r>
          </w:p>
        </w:tc>
        <w:bookmarkEnd w:id="30"/>
      </w:tr>
      <w:tr w:rsidR="009646EB">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9646EB" w:rsidRDefault="00D85644">
            <w:pPr>
              <w:spacing w:after="0"/>
            </w:pPr>
            <w:r>
              <w:rPr>
                <w:rFonts w:ascii="Calibri" w:hAnsi="Calibri"/>
                <w:color w:val="000000"/>
                <w:sz w:val="16"/>
              </w:rPr>
              <w:t>1b</w:t>
            </w:r>
          </w:p>
        </w:tc>
        <w:tc>
          <w:tcPr>
            <w:tcW w:w="12621" w:type="dxa"/>
            <w:gridSpan w:val="4"/>
            <w:tcMar>
              <w:top w:w="15" w:type="dxa"/>
              <w:left w:w="15" w:type="dxa"/>
              <w:bottom w:w="15" w:type="dxa"/>
              <w:right w:w="15" w:type="dxa"/>
            </w:tcMar>
          </w:tcPr>
          <w:p w:rsidR="009646EB" w:rsidRDefault="00D85644">
            <w:pPr>
              <w:pBdr>
                <w:left w:val="none" w:sz="0" w:space="8" w:color="auto"/>
              </w:pBdr>
              <w:spacing w:after="0"/>
            </w:pPr>
            <w:bookmarkStart w:id="31" w:name="footnote_display_content_d1e991"/>
            <w:r>
              <w:rPr>
                <w:rFonts w:ascii="Calibri" w:hAnsi="Calibri"/>
                <w:color w:val="000000"/>
                <w:sz w:val="16"/>
              </w:rPr>
              <w:t>Například zákon č. </w:t>
            </w:r>
            <w:hyperlink r:id="rId16">
              <w:r>
                <w:rPr>
                  <w:rFonts w:ascii="Calibri" w:hAnsi="Calibri"/>
                  <w:color w:val="853536"/>
                  <w:sz w:val="16"/>
                </w:rPr>
                <w:t>449/2001 Sb.</w:t>
              </w:r>
            </w:hyperlink>
            <w:r>
              <w:rPr>
                <w:rFonts w:ascii="Calibri" w:hAnsi="Calibri"/>
                <w:color w:val="000000"/>
                <w:sz w:val="16"/>
              </w:rPr>
              <w:t>, o myslivosti, ve znění pozdějších předpisů.</w:t>
            </w:r>
          </w:p>
        </w:tc>
        <w:bookmarkEnd w:id="31"/>
      </w:tr>
      <w:tr w:rsidR="009646EB">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9646EB" w:rsidRDefault="00D85644">
            <w:pPr>
              <w:spacing w:after="0"/>
            </w:pPr>
            <w:r>
              <w:rPr>
                <w:rFonts w:ascii="Calibri" w:hAnsi="Calibri"/>
                <w:color w:val="000000"/>
                <w:sz w:val="16"/>
              </w:rPr>
              <w:t>4</w:t>
            </w:r>
          </w:p>
        </w:tc>
        <w:bookmarkStart w:id="32" w:name="footnote_display_content_d1e1226"/>
        <w:tc>
          <w:tcPr>
            <w:tcW w:w="12621" w:type="dxa"/>
            <w:gridSpan w:val="4"/>
            <w:tcMar>
              <w:top w:w="15" w:type="dxa"/>
              <w:left w:w="15" w:type="dxa"/>
              <w:bottom w:w="15" w:type="dxa"/>
              <w:right w:w="15" w:type="dxa"/>
            </w:tcMar>
          </w:tcPr>
          <w:p w:rsidR="009646EB" w:rsidRDefault="00D85644">
            <w:pPr>
              <w:pBdr>
                <w:left w:val="none" w:sz="0" w:space="8" w:color="auto"/>
              </w:pBdr>
              <w:spacing w:after="0"/>
            </w:pPr>
            <w:r>
              <w:fldChar w:fldCharType="begin"/>
            </w:r>
            <w:r>
              <w:instrText xml:space="preserve"> HYPERLINK "http://www.beck-online.cz/bo/document-view.seam?documentId=onrf6mjzgy4f6obyfzygmmjy" \</w:instrText>
            </w:r>
            <w:r>
              <w:instrText xml:space="preserve">h </w:instrText>
            </w:r>
            <w:r>
              <w:fldChar w:fldCharType="separate"/>
            </w:r>
            <w:r>
              <w:rPr>
                <w:rFonts w:ascii="Calibri" w:hAnsi="Calibri"/>
                <w:color w:val="853536"/>
                <w:sz w:val="16"/>
              </w:rPr>
              <w:t>§ 18</w:t>
            </w:r>
            <w:r>
              <w:rPr>
                <w:rFonts w:ascii="Calibri" w:hAnsi="Calibri"/>
                <w:color w:val="853536"/>
                <w:sz w:val="16"/>
              </w:rPr>
              <w:fldChar w:fldCharType="end"/>
            </w:r>
            <w:r>
              <w:rPr>
                <w:rFonts w:ascii="Calibri" w:hAnsi="Calibri"/>
                <w:color w:val="000000"/>
                <w:sz w:val="16"/>
              </w:rPr>
              <w:t xml:space="preserve"> zákona č. 88/1968 Sb., o nemocenském pojištění, ve znění pozdějších předpisů.</w:t>
            </w:r>
            <w:r>
              <w:br/>
            </w:r>
            <w:hyperlink r:id="rId17">
              <w:r>
                <w:rPr>
                  <w:rFonts w:ascii="Calibri" w:hAnsi="Calibri"/>
                  <w:color w:val="853536"/>
                  <w:sz w:val="16"/>
                </w:rPr>
                <w:t>§ 71</w:t>
              </w:r>
            </w:hyperlink>
            <w:r>
              <w:rPr>
                <w:rFonts w:ascii="Calibri" w:hAnsi="Calibri"/>
                <w:color w:val="000000"/>
                <w:sz w:val="16"/>
              </w:rPr>
              <w:t xml:space="preserve"> zákona č. 100/1988 Sb., o sociálním zabezpečení, ve znění </w:t>
            </w:r>
            <w:r>
              <w:rPr>
                <w:rFonts w:ascii="Calibri" w:hAnsi="Calibri"/>
                <w:color w:val="000000"/>
                <w:sz w:val="16"/>
              </w:rPr>
              <w:t>pozdějších předpisů.</w:t>
            </w:r>
          </w:p>
        </w:tc>
        <w:bookmarkEnd w:id="32"/>
      </w:tr>
      <w:tr w:rsidR="009646EB">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9646EB" w:rsidRDefault="00D85644">
            <w:pPr>
              <w:spacing w:after="0"/>
            </w:pPr>
            <w:r>
              <w:rPr>
                <w:rFonts w:ascii="Calibri" w:hAnsi="Calibri"/>
                <w:color w:val="000000"/>
                <w:sz w:val="16"/>
              </w:rPr>
              <w:t>4a</w:t>
            </w:r>
          </w:p>
        </w:tc>
        <w:tc>
          <w:tcPr>
            <w:tcW w:w="12621" w:type="dxa"/>
            <w:gridSpan w:val="4"/>
            <w:tcMar>
              <w:top w:w="15" w:type="dxa"/>
              <w:left w:w="15" w:type="dxa"/>
              <w:bottom w:w="15" w:type="dxa"/>
              <w:right w:w="15" w:type="dxa"/>
            </w:tcMar>
          </w:tcPr>
          <w:p w:rsidR="009646EB" w:rsidRDefault="00D85644">
            <w:pPr>
              <w:pBdr>
                <w:left w:val="none" w:sz="0" w:space="8" w:color="auto"/>
              </w:pBdr>
              <w:spacing w:after="0"/>
            </w:pPr>
            <w:bookmarkStart w:id="33" w:name="footnote_display_content_d1e1265"/>
            <w:r>
              <w:rPr>
                <w:rFonts w:ascii="Calibri" w:hAnsi="Calibri"/>
                <w:color w:val="000000"/>
                <w:sz w:val="16"/>
              </w:rPr>
              <w:t>Zákon č. </w:t>
            </w:r>
            <w:hyperlink r:id="rId18">
              <w:r>
                <w:rPr>
                  <w:rFonts w:ascii="Calibri" w:hAnsi="Calibri"/>
                  <w:color w:val="853536"/>
                  <w:sz w:val="16"/>
                </w:rPr>
                <w:t>101/2000 Sb.</w:t>
              </w:r>
            </w:hyperlink>
            <w:r>
              <w:rPr>
                <w:rFonts w:ascii="Calibri" w:hAnsi="Calibri"/>
                <w:color w:val="000000"/>
                <w:sz w:val="16"/>
              </w:rPr>
              <w:t>, o ochraně osobních údajů a o změně některých zákonů, ve znění pozdějších předpisů.</w:t>
            </w:r>
          </w:p>
        </w:tc>
        <w:bookmarkEnd w:id="33"/>
      </w:tr>
      <w:tr w:rsidR="009646EB">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9646EB" w:rsidRDefault="00D85644">
            <w:pPr>
              <w:spacing w:after="0"/>
            </w:pPr>
            <w:r>
              <w:rPr>
                <w:rFonts w:ascii="Calibri" w:hAnsi="Calibri"/>
                <w:color w:val="000000"/>
                <w:sz w:val="16"/>
              </w:rPr>
              <w:t>4b</w:t>
            </w:r>
          </w:p>
        </w:tc>
        <w:bookmarkStart w:id="34" w:name="footnote_display_content_d1e1452"/>
        <w:tc>
          <w:tcPr>
            <w:tcW w:w="12621" w:type="dxa"/>
            <w:gridSpan w:val="4"/>
            <w:tcMar>
              <w:top w:w="15" w:type="dxa"/>
              <w:left w:w="15" w:type="dxa"/>
              <w:bottom w:w="15" w:type="dxa"/>
              <w:right w:w="15" w:type="dxa"/>
            </w:tcMar>
          </w:tcPr>
          <w:p w:rsidR="009646EB" w:rsidRDefault="00D85644">
            <w:pPr>
              <w:pBdr>
                <w:left w:val="none" w:sz="0" w:space="8" w:color="auto"/>
              </w:pBdr>
              <w:spacing w:after="0"/>
            </w:pPr>
            <w:r>
              <w:fldChar w:fldCharType="begin"/>
            </w:r>
            <w:r>
              <w:instrText xml:space="preserve"> HYPERLINK "http://www</w:instrText>
            </w:r>
            <w:r>
              <w:instrText xml:space="preserve">.beck-online.cz/bo/document-view.seam?documentId=onrf6mrqgayf6mjshaxhazrtgq" \h </w:instrText>
            </w:r>
            <w:r>
              <w:fldChar w:fldCharType="separate"/>
            </w:r>
            <w:r>
              <w:rPr>
                <w:rFonts w:ascii="Calibri" w:hAnsi="Calibri"/>
                <w:color w:val="853536"/>
                <w:sz w:val="16"/>
              </w:rPr>
              <w:t>§ 34</w:t>
            </w:r>
            <w:r>
              <w:rPr>
                <w:rFonts w:ascii="Calibri" w:hAnsi="Calibri"/>
                <w:color w:val="853536"/>
                <w:sz w:val="16"/>
              </w:rPr>
              <w:fldChar w:fldCharType="end"/>
            </w:r>
            <w:r>
              <w:rPr>
                <w:rFonts w:ascii="Calibri" w:hAnsi="Calibri"/>
                <w:color w:val="000000"/>
                <w:sz w:val="16"/>
              </w:rPr>
              <w:t xml:space="preserve"> zákona č. 128/2000 Sb., o obcích (obecní zřízení).</w:t>
            </w:r>
          </w:p>
        </w:tc>
        <w:bookmarkEnd w:id="34"/>
      </w:tr>
      <w:tr w:rsidR="009646EB">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9646EB" w:rsidRDefault="00D85644">
            <w:pPr>
              <w:spacing w:after="0"/>
            </w:pPr>
            <w:r>
              <w:rPr>
                <w:rFonts w:ascii="Calibri" w:hAnsi="Calibri"/>
                <w:color w:val="000000"/>
                <w:sz w:val="16"/>
              </w:rPr>
              <w:t>12</w:t>
            </w:r>
          </w:p>
        </w:tc>
        <w:tc>
          <w:tcPr>
            <w:tcW w:w="12621" w:type="dxa"/>
            <w:gridSpan w:val="4"/>
            <w:tcMar>
              <w:top w:w="15" w:type="dxa"/>
              <w:left w:w="15" w:type="dxa"/>
              <w:bottom w:w="15" w:type="dxa"/>
              <w:right w:w="15" w:type="dxa"/>
            </w:tcMar>
          </w:tcPr>
          <w:p w:rsidR="009646EB" w:rsidRDefault="00D85644">
            <w:pPr>
              <w:pBdr>
                <w:left w:val="none" w:sz="0" w:space="8" w:color="auto"/>
              </w:pBdr>
              <w:spacing w:after="0"/>
            </w:pPr>
            <w:bookmarkStart w:id="35" w:name="footnote_display_content_d1e2509"/>
            <w:r>
              <w:rPr>
                <w:rFonts w:ascii="Calibri" w:hAnsi="Calibri"/>
                <w:color w:val="000000"/>
                <w:sz w:val="16"/>
              </w:rPr>
              <w:t>§ 2 bod 12 vyhlášky federálního ministerstva vnitra č. </w:t>
            </w:r>
            <w:hyperlink r:id="rId19">
              <w:r>
                <w:rPr>
                  <w:rFonts w:ascii="Calibri" w:hAnsi="Calibri"/>
                  <w:color w:val="853536"/>
                  <w:sz w:val="16"/>
                </w:rPr>
                <w:t>99/1989 Sb.</w:t>
              </w:r>
            </w:hyperlink>
            <w:r>
              <w:rPr>
                <w:rFonts w:ascii="Calibri" w:hAnsi="Calibri"/>
                <w:color w:val="000000"/>
                <w:sz w:val="16"/>
              </w:rPr>
              <w:t>, o pravidlech provozu na pozemních komunikacích (pravidla silničního provozu).</w:t>
            </w:r>
          </w:p>
        </w:tc>
        <w:bookmarkEnd w:id="35"/>
      </w:tr>
      <w:tr w:rsidR="009646EB">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9646EB" w:rsidRDefault="00D85644">
            <w:pPr>
              <w:spacing w:after="0"/>
            </w:pPr>
            <w:r>
              <w:rPr>
                <w:rFonts w:ascii="Calibri" w:hAnsi="Calibri"/>
                <w:color w:val="000000"/>
                <w:sz w:val="16"/>
              </w:rPr>
              <w:t>13</w:t>
            </w:r>
          </w:p>
        </w:tc>
        <w:bookmarkStart w:id="36" w:name="footnote_display_content_d1e2519"/>
        <w:tc>
          <w:tcPr>
            <w:tcW w:w="12621" w:type="dxa"/>
            <w:gridSpan w:val="4"/>
            <w:tcMar>
              <w:top w:w="15" w:type="dxa"/>
              <w:left w:w="15" w:type="dxa"/>
              <w:bottom w:w="15" w:type="dxa"/>
              <w:right w:w="15" w:type="dxa"/>
            </w:tcMar>
          </w:tcPr>
          <w:p w:rsidR="009646EB" w:rsidRDefault="00D85644">
            <w:pPr>
              <w:pBdr>
                <w:left w:val="none" w:sz="0" w:space="8" w:color="auto"/>
              </w:pBdr>
              <w:spacing w:after="0"/>
            </w:pPr>
            <w:r>
              <w:fldChar w:fldCharType="begin"/>
            </w:r>
            <w:r>
              <w:instrText xml:space="preserve"> HYPERLINK "http://www.beck-online.cz/bo/document-view.seam?documentId=onrf6mjzgy2f6nbqfzygmmjrgy" \h </w:instrText>
            </w:r>
            <w:r>
              <w:fldChar w:fldCharType="separate"/>
            </w:r>
            <w:r>
              <w:rPr>
                <w:rFonts w:ascii="Calibri" w:hAnsi="Calibri"/>
                <w:color w:val="853536"/>
                <w:sz w:val="16"/>
              </w:rPr>
              <w:t>§ 116 občanského záko</w:t>
            </w:r>
            <w:r>
              <w:rPr>
                <w:rFonts w:ascii="Calibri" w:hAnsi="Calibri"/>
                <w:color w:val="853536"/>
                <w:sz w:val="16"/>
              </w:rPr>
              <w:t>níku</w:t>
            </w:r>
            <w:r>
              <w:rPr>
                <w:rFonts w:ascii="Calibri" w:hAnsi="Calibri"/>
                <w:color w:val="853536"/>
                <w:sz w:val="16"/>
              </w:rPr>
              <w:fldChar w:fldCharType="end"/>
            </w:r>
            <w:r>
              <w:rPr>
                <w:rFonts w:ascii="Calibri" w:hAnsi="Calibri"/>
                <w:color w:val="000000"/>
                <w:sz w:val="16"/>
              </w:rPr>
              <w:t>.</w:t>
            </w:r>
          </w:p>
        </w:tc>
        <w:bookmarkEnd w:id="36"/>
      </w:tr>
      <w:tr w:rsidR="009646EB">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9646EB" w:rsidRDefault="00D85644">
            <w:pPr>
              <w:spacing w:after="0"/>
            </w:pPr>
            <w:r>
              <w:rPr>
                <w:rFonts w:ascii="Calibri" w:hAnsi="Calibri"/>
                <w:color w:val="000000"/>
                <w:sz w:val="16"/>
              </w:rPr>
              <w:t>16</w:t>
            </w:r>
          </w:p>
        </w:tc>
        <w:tc>
          <w:tcPr>
            <w:tcW w:w="12621" w:type="dxa"/>
            <w:gridSpan w:val="4"/>
            <w:tcMar>
              <w:top w:w="15" w:type="dxa"/>
              <w:left w:w="15" w:type="dxa"/>
              <w:bottom w:w="15" w:type="dxa"/>
              <w:right w:w="15" w:type="dxa"/>
            </w:tcMar>
          </w:tcPr>
          <w:p w:rsidR="009646EB" w:rsidRDefault="00D85644">
            <w:pPr>
              <w:pBdr>
                <w:left w:val="none" w:sz="0" w:space="8" w:color="auto"/>
              </w:pBdr>
              <w:spacing w:after="0"/>
            </w:pPr>
            <w:bookmarkStart w:id="37" w:name="footnote_display_content_d1e3211"/>
            <w:r>
              <w:rPr>
                <w:rFonts w:ascii="Calibri" w:hAnsi="Calibri"/>
                <w:color w:val="000000"/>
                <w:sz w:val="16"/>
              </w:rPr>
              <w:t>Zákon č. </w:t>
            </w:r>
            <w:hyperlink r:id="rId20">
              <w:r>
                <w:rPr>
                  <w:rFonts w:ascii="Calibri" w:hAnsi="Calibri"/>
                  <w:color w:val="853536"/>
                  <w:sz w:val="16"/>
                </w:rPr>
                <w:t>151/1997 Sb.</w:t>
              </w:r>
            </w:hyperlink>
            <w:r>
              <w:rPr>
                <w:rFonts w:ascii="Calibri" w:hAnsi="Calibri"/>
                <w:color w:val="000000"/>
                <w:sz w:val="16"/>
              </w:rPr>
              <w:t>, o oceňování majetku a o změně některých zákonů (</w:t>
            </w:r>
            <w:hyperlink r:id="rId21">
              <w:r>
                <w:rPr>
                  <w:rFonts w:ascii="Calibri" w:hAnsi="Calibri"/>
                  <w:color w:val="853536"/>
                  <w:sz w:val="16"/>
                </w:rPr>
                <w:t>zákon o oceňování majetku</w:t>
              </w:r>
            </w:hyperlink>
            <w:r>
              <w:rPr>
                <w:rFonts w:ascii="Calibri" w:hAnsi="Calibri"/>
                <w:color w:val="000000"/>
                <w:sz w:val="16"/>
              </w:rPr>
              <w:t>), ve znění zákona č. </w:t>
            </w:r>
            <w:hyperlink r:id="rId22">
              <w:r>
                <w:rPr>
                  <w:rFonts w:ascii="Calibri" w:hAnsi="Calibri"/>
                  <w:color w:val="853536"/>
                  <w:sz w:val="16"/>
                </w:rPr>
                <w:t>121/2000 Sb.</w:t>
              </w:r>
            </w:hyperlink>
          </w:p>
        </w:tc>
        <w:bookmarkEnd w:id="37"/>
      </w:tr>
      <w:tr w:rsidR="009646EB">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9646EB" w:rsidRDefault="00D85644">
            <w:pPr>
              <w:spacing w:after="0"/>
            </w:pPr>
            <w:r>
              <w:rPr>
                <w:rFonts w:ascii="Calibri" w:hAnsi="Calibri"/>
                <w:color w:val="000000"/>
                <w:sz w:val="16"/>
              </w:rPr>
              <w:t>17</w:t>
            </w:r>
          </w:p>
        </w:tc>
        <w:tc>
          <w:tcPr>
            <w:tcW w:w="12621" w:type="dxa"/>
            <w:gridSpan w:val="4"/>
            <w:tcMar>
              <w:top w:w="15" w:type="dxa"/>
              <w:left w:w="15" w:type="dxa"/>
              <w:bottom w:w="15" w:type="dxa"/>
              <w:right w:w="15" w:type="dxa"/>
            </w:tcMar>
          </w:tcPr>
          <w:p w:rsidR="009646EB" w:rsidRDefault="00D85644">
            <w:pPr>
              <w:pBdr>
                <w:left w:val="none" w:sz="0" w:space="8" w:color="auto"/>
              </w:pBdr>
              <w:spacing w:after="0"/>
            </w:pPr>
            <w:bookmarkStart w:id="38" w:name="footnote_display_content_d1e3241"/>
            <w:r>
              <w:rPr>
                <w:rFonts w:ascii="Calibri" w:hAnsi="Calibri"/>
                <w:color w:val="000000"/>
                <w:sz w:val="16"/>
              </w:rPr>
              <w:t>Vyhláška č. </w:t>
            </w:r>
            <w:hyperlink r:id="rId23">
              <w:r>
                <w:rPr>
                  <w:rFonts w:ascii="Calibri" w:hAnsi="Calibri"/>
                  <w:color w:val="853536"/>
                  <w:sz w:val="16"/>
                </w:rPr>
                <w:t>279/1997 Sb.</w:t>
              </w:r>
            </w:hyperlink>
            <w:r>
              <w:rPr>
                <w:rFonts w:ascii="Calibri" w:hAnsi="Calibri"/>
                <w:color w:val="000000"/>
                <w:sz w:val="16"/>
              </w:rPr>
              <w:t>, kterou se provádějí některá ustanovení zákona č. </w:t>
            </w:r>
            <w:hyperlink r:id="rId24">
              <w:r>
                <w:rPr>
                  <w:rFonts w:ascii="Calibri" w:hAnsi="Calibri"/>
                  <w:color w:val="853536"/>
                  <w:sz w:val="16"/>
                </w:rPr>
                <w:t>151/1997 Sb.</w:t>
              </w:r>
            </w:hyperlink>
            <w:r>
              <w:rPr>
                <w:rFonts w:ascii="Calibri" w:hAnsi="Calibri"/>
                <w:color w:val="000000"/>
                <w:sz w:val="16"/>
              </w:rPr>
              <w:t>, o oceňování majetku a o změně některých zákonů (</w:t>
            </w:r>
            <w:hyperlink r:id="rId25">
              <w:r>
                <w:rPr>
                  <w:rFonts w:ascii="Calibri" w:hAnsi="Calibri"/>
                  <w:color w:val="853536"/>
                  <w:sz w:val="16"/>
                </w:rPr>
                <w:t>zákon o oceňování majetku</w:t>
              </w:r>
            </w:hyperlink>
            <w:r>
              <w:rPr>
                <w:rFonts w:ascii="Calibri" w:hAnsi="Calibri"/>
                <w:color w:val="000000"/>
                <w:sz w:val="16"/>
              </w:rPr>
              <w:t>), ve znění pozdějších předpisů.</w:t>
            </w:r>
          </w:p>
        </w:tc>
        <w:bookmarkEnd w:id="38"/>
      </w:tr>
      <w:tr w:rsidR="009646EB">
        <w:tblPrEx>
          <w:tblBorders>
            <w:top w:val="dotted" w:sz="8" w:space="0" w:color="808080"/>
          </w:tblBorders>
        </w:tblPrEx>
        <w:trPr>
          <w:trHeight w:val="30"/>
          <w:tblCellSpacing w:w="20" w:type="dxa"/>
        </w:trPr>
        <w:tc>
          <w:tcPr>
            <w:tcW w:w="293" w:type="dxa"/>
            <w:tcMar>
              <w:top w:w="15" w:type="dxa"/>
              <w:left w:w="15" w:type="dxa"/>
              <w:bottom w:w="15" w:type="dxa"/>
              <w:right w:w="15" w:type="dxa"/>
            </w:tcMar>
          </w:tcPr>
          <w:p w:rsidR="009646EB" w:rsidRDefault="00D85644">
            <w:pPr>
              <w:spacing w:after="0"/>
            </w:pPr>
            <w:r>
              <w:rPr>
                <w:rFonts w:ascii="Calibri" w:hAnsi="Calibri"/>
                <w:color w:val="000000"/>
                <w:sz w:val="16"/>
              </w:rPr>
              <w:t>18</w:t>
            </w:r>
          </w:p>
        </w:tc>
        <w:tc>
          <w:tcPr>
            <w:tcW w:w="12621" w:type="dxa"/>
            <w:gridSpan w:val="4"/>
            <w:tcMar>
              <w:top w:w="15" w:type="dxa"/>
              <w:left w:w="15" w:type="dxa"/>
              <w:bottom w:w="15" w:type="dxa"/>
              <w:right w:w="15" w:type="dxa"/>
            </w:tcMar>
          </w:tcPr>
          <w:p w:rsidR="009646EB" w:rsidRDefault="00D85644">
            <w:pPr>
              <w:pBdr>
                <w:left w:val="none" w:sz="0" w:space="8" w:color="auto"/>
              </w:pBdr>
              <w:spacing w:after="0"/>
            </w:pPr>
            <w:bookmarkStart w:id="39" w:name="footnote_display_content_d1e3259"/>
            <w:r>
              <w:rPr>
                <w:rFonts w:ascii="Calibri" w:hAnsi="Calibri"/>
                <w:color w:val="000000"/>
                <w:sz w:val="16"/>
              </w:rPr>
              <w:t>Zákon č. </w:t>
            </w:r>
            <w:hyperlink r:id="rId26">
              <w:r>
                <w:rPr>
                  <w:rFonts w:ascii="Calibri" w:hAnsi="Calibri"/>
                  <w:color w:val="853536"/>
                  <w:sz w:val="16"/>
                </w:rPr>
                <w:t>50/1976 Sb.</w:t>
              </w:r>
            </w:hyperlink>
            <w:r>
              <w:rPr>
                <w:rFonts w:ascii="Calibri" w:hAnsi="Calibri"/>
                <w:color w:val="000000"/>
                <w:sz w:val="16"/>
              </w:rPr>
              <w:t>, o územním plánování a stavebním řádu (</w:t>
            </w:r>
            <w:hyperlink r:id="rId27">
              <w:r>
                <w:rPr>
                  <w:rFonts w:ascii="Calibri" w:hAnsi="Calibri"/>
                  <w:color w:val="853536"/>
                  <w:sz w:val="16"/>
                </w:rPr>
                <w:t>stavební zákon</w:t>
              </w:r>
            </w:hyperlink>
            <w:r>
              <w:rPr>
                <w:rFonts w:ascii="Calibri" w:hAnsi="Calibri"/>
                <w:color w:val="000000"/>
                <w:sz w:val="16"/>
              </w:rPr>
              <w:t xml:space="preserve">), ve znění </w:t>
            </w:r>
            <w:r>
              <w:rPr>
                <w:rFonts w:ascii="Calibri" w:hAnsi="Calibri"/>
                <w:color w:val="000000"/>
                <w:sz w:val="16"/>
              </w:rPr>
              <w:t>pozdějších předpisů.</w:t>
            </w:r>
          </w:p>
        </w:tc>
        <w:bookmarkEnd w:id="39"/>
      </w:tr>
    </w:tbl>
    <w:p w:rsidR="00000000" w:rsidRDefault="00D85644"/>
    <w:sectPr w:rsidR="0000000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EB"/>
    <w:rsid w:val="009646EB"/>
    <w:rsid w:val="00D85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eck-online.cz/bo/document-view.seam?documentId=onrf6mjzguzf6obs" TargetMode="External"/><Relationship Id="rId13" Type="http://schemas.openxmlformats.org/officeDocument/2006/relationships/hyperlink" Target="http://www.beck-online.cz/bo/document-view.seam?documentId=onrf6mrqge2v6mrwgyxgg3bs" TargetMode="External"/><Relationship Id="rId18" Type="http://schemas.openxmlformats.org/officeDocument/2006/relationships/hyperlink" Target="http://www.beck-online.cz/bo/document-view.seam?documentId=onrf6mrqgayf6mjqge" TargetMode="External"/><Relationship Id="rId26" Type="http://schemas.openxmlformats.org/officeDocument/2006/relationships/hyperlink" Target="http://www.beck-online.cz/bo/document-view.seam?documentId=onrf6mjzg43f6njq" TargetMode="External"/><Relationship Id="rId3" Type="http://schemas.openxmlformats.org/officeDocument/2006/relationships/settings" Target="settings.xml"/><Relationship Id="rId21" Type="http://schemas.openxmlformats.org/officeDocument/2006/relationships/hyperlink" Target="http://www.beck-online.cz/bo/document-view.seam?documentId=onrf6mjzhe3v6mjvge" TargetMode="External"/><Relationship Id="rId7" Type="http://schemas.openxmlformats.org/officeDocument/2006/relationships/hyperlink" Target="http://www.beck-online.cz/bo/document-view.seam?documentId=onrf6mjzhezv6mromnwdi" TargetMode="External"/><Relationship Id="rId12" Type="http://schemas.openxmlformats.org/officeDocument/2006/relationships/hyperlink" Target="http://www.beck-online.cz/bo/document-view.seam?documentId=onrf6mrqge3v6mjxgaxgg3by" TargetMode="External"/><Relationship Id="rId17" Type="http://schemas.openxmlformats.org/officeDocument/2006/relationships/hyperlink" Target="http://www.beck-online.cz/bo/document-view.seam?documentId=onrf6mjzha4f6mjqgaxhazrxge" TargetMode="External"/><Relationship Id="rId25" Type="http://schemas.openxmlformats.org/officeDocument/2006/relationships/hyperlink" Target="http://www.beck-online.cz/bo/document-view.seam?documentId=onrf6mjzhe3v6mjvge" TargetMode="External"/><Relationship Id="rId2" Type="http://schemas.microsoft.com/office/2007/relationships/stylesWithEffects" Target="stylesWithEffects.xml"/><Relationship Id="rId16" Type="http://schemas.openxmlformats.org/officeDocument/2006/relationships/hyperlink" Target="http://www.beck-online.cz/bo/document-view.seam?documentId=onrf6mrqgayv6nbuhe" TargetMode="External"/><Relationship Id="rId20" Type="http://schemas.openxmlformats.org/officeDocument/2006/relationships/hyperlink" Target="http://www.beck-online.cz/bo/document-view.seam?documentId=onrf6mjzhe3v6mjvg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eck-online.cz/bo/document-view.seam?documentId=onrf6mjzheyf6njwguxhazrrgbrc2mrq" TargetMode="External"/><Relationship Id="rId11" Type="http://schemas.openxmlformats.org/officeDocument/2006/relationships/hyperlink" Target="http://www.beck-online.cz/bo/document-view.seam?documentId=onrf6mjzha4v6ny" TargetMode="External"/><Relationship Id="rId24" Type="http://schemas.openxmlformats.org/officeDocument/2006/relationships/hyperlink" Target="http://www.beck-online.cz/bo/document-view.seam?documentId=onrf6mjzhe3v6mjvge" TargetMode="External"/><Relationship Id="rId5" Type="http://schemas.openxmlformats.org/officeDocument/2006/relationships/hyperlink" Target="http://www.beck-online.cz/bo/document-view.seam?documentId=onrf6mrqge3v6mztha" TargetMode="External"/><Relationship Id="rId15" Type="http://schemas.openxmlformats.org/officeDocument/2006/relationships/hyperlink" Target="http://www.beck-online.cz/bo/document-view.seam?documentId=onrf6mrqgeyv6mzshe" TargetMode="External"/><Relationship Id="rId23" Type="http://schemas.openxmlformats.org/officeDocument/2006/relationships/hyperlink" Target="http://www.beck-online.cz/bo/document-view.seam?documentId=onrf6mjzhe3v6mrxhe" TargetMode="External"/><Relationship Id="rId28" Type="http://schemas.openxmlformats.org/officeDocument/2006/relationships/fontTable" Target="fontTable.xml"/><Relationship Id="rId10" Type="http://schemas.openxmlformats.org/officeDocument/2006/relationships/hyperlink" Target="http://www.beck-online.cz/bo/document-view.seam?documentId=onrf6mjzha4f6mrrgy" TargetMode="External"/><Relationship Id="rId19" Type="http://schemas.openxmlformats.org/officeDocument/2006/relationships/hyperlink" Target="http://www.beck-online.cz/bo/document-view.seam?documentId=onrf6mjzha4v6ojz"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jzgy3f6nrx" TargetMode="External"/><Relationship Id="rId14" Type="http://schemas.openxmlformats.org/officeDocument/2006/relationships/hyperlink" Target="http://www.beck-online.cz/bo/document-view.seam?documentId=onrf6mrqge2v6mrwgyxgg3bs" TargetMode="External"/><Relationship Id="rId22" Type="http://schemas.openxmlformats.org/officeDocument/2006/relationships/hyperlink" Target="http://www.beck-online.cz/bo/document-view.seam?documentId=onrf6mrqgayf6mjsge" TargetMode="External"/><Relationship Id="rId27" Type="http://schemas.openxmlformats.org/officeDocument/2006/relationships/hyperlink" Target="http://www.beck-online.cz/bo/document-view.seam?documentId=onrf6mjzg43f6njq"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3461</Words>
  <Characters>20423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Lstibůrková</dc:creator>
  <cp:lastModifiedBy>Veronika Lstibůrková</cp:lastModifiedBy>
  <cp:revision>2</cp:revision>
  <dcterms:created xsi:type="dcterms:W3CDTF">2018-10-29T13:07:00Z</dcterms:created>
  <dcterms:modified xsi:type="dcterms:W3CDTF">2018-10-29T13:07:00Z</dcterms:modified>
</cp:coreProperties>
</file>