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0" w:name="document_fragment_onrf6mjzheyf6obufu4a"/>
    </w:p>
    <w:p w:rsidR="0040350C" w:rsidRDefault="00236134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84/1990</w:t>
      </w:r>
      <w:bookmarkStart w:id="1" w:name="_GoBack"/>
      <w:bookmarkEnd w:id="1"/>
    </w:p>
    <w:p w:rsidR="0040350C" w:rsidRDefault="00236134">
      <w:pPr>
        <w:spacing w:after="60"/>
        <w:jc w:val="both"/>
      </w:pPr>
      <w:r>
        <w:rPr>
          <w:rFonts w:ascii="Calibri" w:hAnsi="Calibri"/>
          <w:color w:val="444444"/>
          <w:sz w:val="20"/>
        </w:rPr>
        <w:t> </w:t>
      </w:r>
    </w:p>
    <w:p w:rsidR="0040350C" w:rsidRDefault="00236134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ZÁKON</w:t>
      </w:r>
    </w:p>
    <w:p w:rsidR="0040350C" w:rsidRDefault="00236134">
      <w:pPr>
        <w:spacing w:after="60"/>
        <w:jc w:val="center"/>
      </w:pPr>
      <w:r>
        <w:rPr>
          <w:rFonts w:ascii="Calibri" w:hAnsi="Calibri"/>
          <w:color w:val="444444"/>
          <w:sz w:val="20"/>
        </w:rPr>
        <w:t>ze dne 27. března 1990</w:t>
      </w:r>
    </w:p>
    <w:p w:rsidR="0040350C" w:rsidRDefault="00236134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o právu shromažďovacím</w:t>
      </w:r>
    </w:p>
    <w:p w:rsidR="0040350C" w:rsidRDefault="00236134">
      <w:pPr>
        <w:spacing w:after="60"/>
        <w:jc w:val="both"/>
      </w:pPr>
      <w:r>
        <w:rPr>
          <w:rFonts w:ascii="Calibri" w:hAnsi="Calibri"/>
          <w:color w:val="444444"/>
          <w:sz w:val="20"/>
        </w:rPr>
        <w:t> </w:t>
      </w:r>
    </w:p>
    <w:p w:rsidR="0040350C" w:rsidRDefault="00236134">
      <w:pPr>
        <w:spacing w:after="60"/>
        <w:jc w:val="both"/>
      </w:pPr>
      <w:r>
        <w:rPr>
          <w:rFonts w:ascii="Calibri" w:hAnsi="Calibri"/>
          <w:color w:val="444444"/>
          <w:sz w:val="20"/>
        </w:rPr>
        <w:t>Federální shromáždění Československé socialistické republiky se usneslo na tomto zákoně:</w:t>
      </w:r>
    </w:p>
    <w:p w:rsidR="0040350C" w:rsidRDefault="00236134">
      <w:pPr>
        <w:spacing w:after="0"/>
        <w:jc w:val="center"/>
      </w:pPr>
      <w:r>
        <w:rPr>
          <w:rFonts w:ascii="Calibri" w:hAnsi="Calibri"/>
          <w:b/>
          <w:color w:val="000000"/>
        </w:rPr>
        <w:t>Úvodní ustanovení</w:t>
      </w:r>
    </w:p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2" w:name="pf1"/>
      <w:r>
        <w:rPr>
          <w:rFonts w:ascii="Calibri" w:hAnsi="Calibri"/>
          <w:b/>
          <w:color w:val="BA3347"/>
          <w:sz w:val="20"/>
        </w:rPr>
        <w:t>§ 1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"/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Každý má právo pokojně se shromažďovat.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Výkon tohoto práva slouží </w:t>
            </w:r>
            <w:r>
              <w:rPr>
                <w:rFonts w:ascii="Calibri" w:hAnsi="Calibri"/>
                <w:color w:val="444444"/>
              </w:rPr>
              <w:t>k využívání svobody projevu a dalších ústavních práv a svobod, k výměně informací a názorů a k účasti na řešení veřejných a jiných společných záležitostí vyjádřením postojů a stanovisek. Za shromáždění ve smyslu tohoto zákona se považují též průvody, slouž</w:t>
            </w:r>
            <w:r>
              <w:rPr>
                <w:rFonts w:ascii="Calibri" w:hAnsi="Calibri"/>
                <w:color w:val="444444"/>
              </w:rPr>
              <w:t>í-li k účelu uvedenému ve větě první.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Ke shromáždění není třeba předchozího povolení orgánu veřejné moci.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Jsou zakázána shromáždění v blízkosti budov Parlamentu České republiky, a to v místech vymezených v příloze tohoto zákona.</w:t>
            </w:r>
          </w:p>
        </w:tc>
      </w:tr>
    </w:tbl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3" w:name="pf2"/>
      <w:r>
        <w:rPr>
          <w:rFonts w:ascii="Calibri" w:hAnsi="Calibri"/>
          <w:b/>
          <w:color w:val="BA3347"/>
          <w:sz w:val="20"/>
        </w:rPr>
        <w:t>§ 2</w:t>
      </w:r>
    </w:p>
    <w:bookmarkEnd w:id="3"/>
    <w:p w:rsidR="0040350C" w:rsidRDefault="00236134">
      <w:pPr>
        <w:spacing w:after="60"/>
        <w:jc w:val="both"/>
      </w:pPr>
      <w:r>
        <w:rPr>
          <w:rFonts w:ascii="Calibri" w:hAnsi="Calibri"/>
          <w:color w:val="444444"/>
          <w:sz w:val="20"/>
        </w:rPr>
        <w:t>Za shromážd</w:t>
      </w:r>
      <w:r>
        <w:rPr>
          <w:rFonts w:ascii="Calibri" w:hAnsi="Calibri"/>
          <w:color w:val="444444"/>
          <w:sz w:val="20"/>
        </w:rPr>
        <w:t>ění ve smyslu tohoto zákona se nepovažují: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7"/>
        <w:gridCol w:w="8740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a)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shromáždění osob související s činností orgánů veřejné moci upravená jinými právními předpisy;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b)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shromáždění související s poskytováním služeb;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c)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jiná shromáždění nesloužící účelu uvedenému v § 1 odst. 2.</w:t>
            </w:r>
          </w:p>
        </w:tc>
      </w:tr>
    </w:tbl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4" w:name="pf2a"/>
      <w:r>
        <w:rPr>
          <w:rFonts w:ascii="Calibri" w:hAnsi="Calibri"/>
          <w:b/>
          <w:color w:val="BA3347"/>
          <w:sz w:val="20"/>
        </w:rPr>
        <w:t>§ 2a</w:t>
      </w:r>
    </w:p>
    <w:bookmarkEnd w:id="4"/>
    <w:p w:rsidR="0040350C" w:rsidRDefault="00236134">
      <w:pPr>
        <w:spacing w:after="60"/>
        <w:jc w:val="both"/>
      </w:pPr>
      <w:r>
        <w:rPr>
          <w:rFonts w:ascii="Calibri" w:hAnsi="Calibri"/>
          <w:color w:val="444444"/>
          <w:sz w:val="20"/>
        </w:rPr>
        <w:t>Působnost ve věcech práva shromažďovacího v přenesené působnosti vykonává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8"/>
        <w:gridCol w:w="8739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a)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obecní úřad, v jehož územním obvodu se má shromáždění konat,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b)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pověřený obecní úřad, přesahuje-li místo konání shromáždění územní obvod obecního úřadu,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c)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krajský úřad, </w:t>
            </w:r>
            <w:r>
              <w:rPr>
                <w:rFonts w:ascii="Calibri" w:hAnsi="Calibri"/>
                <w:color w:val="444444"/>
              </w:rPr>
              <w:t>pokud místo konání shromáždění přesahuje správní obvod pověřeného obecního úřadu,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d)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Ministerstvo vnitra, pokud místo konání shromáždění přesahuje hranice kraje</w:t>
            </w:r>
          </w:p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(dále jen "úřad").</w:t>
            </w:r>
          </w:p>
        </w:tc>
      </w:tr>
    </w:tbl>
    <w:p w:rsidR="0040350C" w:rsidRDefault="00236134">
      <w:pPr>
        <w:spacing w:after="0"/>
        <w:jc w:val="center"/>
      </w:pPr>
      <w:r>
        <w:rPr>
          <w:rFonts w:ascii="Calibri" w:hAnsi="Calibri"/>
          <w:b/>
          <w:color w:val="000000"/>
        </w:rPr>
        <w:t>Svolání shromáždění</w:t>
      </w:r>
    </w:p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5" w:name="pf3"/>
      <w:r>
        <w:rPr>
          <w:rFonts w:ascii="Calibri" w:hAnsi="Calibri"/>
          <w:b/>
          <w:color w:val="BA3347"/>
          <w:sz w:val="20"/>
        </w:rPr>
        <w:t>§ 3</w:t>
      </w:r>
    </w:p>
    <w:bookmarkEnd w:id="5"/>
    <w:p w:rsidR="0040350C" w:rsidRDefault="00236134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Shromáždění může svolat občan starší 18 let nebo </w:t>
      </w:r>
      <w:r>
        <w:rPr>
          <w:rFonts w:ascii="Calibri" w:hAnsi="Calibri"/>
          <w:color w:val="444444"/>
          <w:sz w:val="20"/>
        </w:rPr>
        <w:t>právnická osoba se sídlem na území České republiky, anebo skupina osob (dále jen "svolavatel").</w:t>
      </w:r>
    </w:p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6" w:name="pf4"/>
      <w:r>
        <w:rPr>
          <w:rFonts w:ascii="Calibri" w:hAnsi="Calibri"/>
          <w:b/>
          <w:color w:val="BA3347"/>
          <w:sz w:val="20"/>
        </w:rPr>
        <w:t>§ 4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"/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Shromáždění musí být oznamována úřadu s výjimkou: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332"/>
            </w:tblGrid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shromáždění pořádaných právnickými osobami přístupných jen jejich členům či pracovníkům </w:t>
                  </w:r>
                  <w:r>
                    <w:rPr>
                      <w:rFonts w:ascii="Calibri" w:hAnsi="Calibri"/>
                      <w:color w:val="444444"/>
                    </w:rPr>
                    <w:t>a jmenovitě pozvaným hostům;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shromáždění pořádaných církvemi nebo náboženskými společnostmi</w:t>
                  </w:r>
                  <w:r>
                    <w:rPr>
                      <w:rFonts w:ascii="Calibri" w:hAnsi="Calibri"/>
                      <w:color w:val="444444"/>
                    </w:rPr>
                    <w:t>2</w:t>
                  </w:r>
                  <w:r>
                    <w:rPr>
                      <w:rFonts w:ascii="Calibri" w:hAnsi="Calibri"/>
                      <w:color w:val="444444"/>
                    </w:rPr>
                    <w:t xml:space="preserve"> v kostele nebo v jiné modlitebně, procesí, poutí a jiných průvodů a shromáždění sloužících k projevům náboženského vyznání;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shromáždění konaných v obydlích</w:t>
                  </w:r>
                  <w:r>
                    <w:rPr>
                      <w:rFonts w:ascii="Calibri" w:hAnsi="Calibri"/>
                      <w:color w:val="444444"/>
                    </w:rPr>
                    <w:t>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shromáždění jmenovitě pozvaných osob v uzavřených prostorách.</w:t>
                  </w:r>
                </w:p>
              </w:tc>
            </w:tr>
          </w:tbl>
          <w:p w:rsidR="0040350C" w:rsidRDefault="0040350C"/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Rada obce může ve svém územním obvodu nařízením určit místa, kde lze konat shromáždění k účelu uvedenému v § 1 odst. 2 bez oznámení. Přitom může stanovit dobu, v níž se taková </w:t>
            </w:r>
            <w:r>
              <w:rPr>
                <w:rFonts w:ascii="Calibri" w:hAnsi="Calibri"/>
                <w:color w:val="444444"/>
              </w:rPr>
              <w:t>shromáždění konat nesmějí.</w:t>
            </w:r>
          </w:p>
        </w:tc>
      </w:tr>
    </w:tbl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7" w:name="pf5"/>
      <w:r>
        <w:rPr>
          <w:rFonts w:ascii="Calibri" w:hAnsi="Calibri"/>
          <w:b/>
          <w:color w:val="BA3347"/>
          <w:sz w:val="20"/>
        </w:rPr>
        <w:t>§ 5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7"/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Svolavatel je povinen shromáždění oznámit úřadu tak, aby úřad oznámení obdržel alespoň 5 dnů předem. Úřad může v odůvodněných případech přijmout oznámení i v kratší lhůtě. Za právnickou osobu podá oznámení ten, kdo ji v</w:t>
            </w:r>
            <w:r>
              <w:rPr>
                <w:rFonts w:ascii="Calibri" w:hAnsi="Calibri"/>
                <w:color w:val="444444"/>
              </w:rPr>
              <w:t> této věci zastupuje.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 oznámení, které svolavatel podá dříve než 6 měsíců přede dnem konání shromáždění, se nepřihlíží.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 oznámení musí svolavatel uvést: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4"/>
              <w:gridCol w:w="8333"/>
            </w:tblGrid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účel shromáždění, den a místo jeho konání a dobu zahájení; jde-li o shromáždění na veřej</w:t>
                  </w:r>
                  <w:r>
                    <w:rPr>
                      <w:rFonts w:ascii="Calibri" w:hAnsi="Calibri"/>
                      <w:color w:val="444444"/>
                    </w:rPr>
                    <w:t>ném prostranství, též předpokládanou dobu jeho ukončení;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předpokládaný počet účastníků shromáždění;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opatření, která provede, aby se shromáždění konalo v souladu se zákonem, zejména potřebný počet pořadatelů starších 18 let, které k organizaci </w:t>
                  </w:r>
                  <w:r>
                    <w:rPr>
                      <w:rFonts w:ascii="Calibri" w:hAnsi="Calibri"/>
                      <w:color w:val="444444"/>
                    </w:rPr>
                    <w:t>shromáždění určí, a způsob jejich označení;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má-li jít o průvod, výchozí místo, cestu a místo ukončení;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jméno, popřípadě jména, příjmení, datum narození, dále adresu místa trvalého pobytu nebo adresu místa hlášeného pobytu, jde-li o cizince (dále je</w:t>
                  </w:r>
                  <w:r>
                    <w:rPr>
                      <w:rFonts w:ascii="Calibri" w:hAnsi="Calibri"/>
                      <w:color w:val="444444"/>
                    </w:rPr>
                    <w:t xml:space="preserve">n „adresa místa pobytu“), a adresu pro doručování, neshoduje-li se s adresou místa pobytu svolavatele, a rovněž </w:t>
                  </w:r>
                  <w:proofErr w:type="gramStart"/>
                  <w:r>
                    <w:rPr>
                      <w:rFonts w:ascii="Calibri" w:hAnsi="Calibri"/>
                      <w:color w:val="444444"/>
                    </w:rPr>
                    <w:t>adresu</w:t>
                  </w:r>
                  <w:proofErr w:type="gramEnd"/>
                  <w:r>
                    <w:rPr>
                      <w:rFonts w:ascii="Calibri" w:hAnsi="Calibri"/>
                      <w:color w:val="444444"/>
                    </w:rPr>
                    <w:t xml:space="preserve"> pro zasílání informací elektronickou poštou, telefonní číslo nebo jiný dostupný kontaktní údaj; u právnické osoby její název a sídlo a jm</w:t>
                  </w:r>
                  <w:r>
                    <w:rPr>
                      <w:rFonts w:ascii="Calibri" w:hAnsi="Calibri"/>
                      <w:color w:val="444444"/>
                    </w:rPr>
                    <w:t>éno, popřípadě jména, příjmení, datum narození, adresu místa pobytu a adresu pro doručování, neshoduje-li se s adresou místa pobytu, a rovněž adresu pro zasílání informací elektronickou poštou, telefonní číslo nebo jiný dostupný kontaktní údaj toho, kdo ji</w:t>
                  </w:r>
                  <w:r>
                    <w:rPr>
                      <w:rFonts w:ascii="Calibri" w:hAnsi="Calibri"/>
                      <w:color w:val="444444"/>
                    </w:rPr>
                    <w:t xml:space="preserve"> v této věci zastupuje;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f)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jméno, popřípadě jména, příjmení, datum narození, adresu místa pobytu a adresu pro zasílání informací elektronickou poštou, telefonní číslo nebo jiný dostupný kontaktní údaj toho, kdo je zmocněn jednat v zastoupení svolavatele, </w:t>
                  </w:r>
                  <w:r>
                    <w:rPr>
                      <w:rFonts w:ascii="Calibri" w:hAnsi="Calibri"/>
                      <w:color w:val="444444"/>
                    </w:rPr>
                    <w:t xml:space="preserve">je-li zastoupen nebo jde-li o skupinu </w:t>
                  </w:r>
                  <w:r>
                    <w:rPr>
                      <w:rFonts w:ascii="Calibri" w:hAnsi="Calibri"/>
                      <w:color w:val="444444"/>
                    </w:rPr>
                    <w:lastRenderedPageBreak/>
                    <w:t>osob․</w:t>
                  </w:r>
                </w:p>
              </w:tc>
            </w:tr>
          </w:tbl>
          <w:p w:rsidR="0040350C" w:rsidRDefault="0040350C"/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Má-li se shromáždění konat pod širým nebem mimo veřejná prostranství, je svolavatel povinen k oznámení přiložit písemný souhlas toho, kdo je vlastníkem, případně uživatelem pozemku.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Neuvede-li </w:t>
            </w:r>
            <w:r>
              <w:rPr>
                <w:rFonts w:ascii="Calibri" w:hAnsi="Calibri"/>
                <w:color w:val="444444"/>
              </w:rPr>
              <w:t>svolavatel údaje podle odstavce 3 nebo jsou-li uvedené údaje neúplné, nepřesné nebo nepravdivé anebo nepředloží-li svolavatel k oznámení souhlas podle odstavce 4, úřad svolavatele na vady oznámení neprodleně upozorní.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Neodstraní-li svolavatel vady ozn</w:t>
            </w:r>
            <w:r>
              <w:rPr>
                <w:rFonts w:ascii="Calibri" w:hAnsi="Calibri"/>
                <w:color w:val="444444"/>
              </w:rPr>
              <w:t>ámení v úřadem stanovené lhůtě nebo se nejedná o shromáždění podle tohoto zákona, úřad oznámení usnesením bez zbytečného odkladu odloží. Rozhodnutí o odvolání musí být vydáno nejpozději do 3 pracovních dnů ode dne podání odvolání.</w:t>
            </w:r>
          </w:p>
        </w:tc>
      </w:tr>
    </w:tbl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8" w:name="pf6"/>
      <w:r>
        <w:rPr>
          <w:rFonts w:ascii="Calibri" w:hAnsi="Calibri"/>
          <w:b/>
          <w:color w:val="BA3347"/>
          <w:sz w:val="20"/>
        </w:rPr>
        <w:t>§ 6</w:t>
      </w:r>
    </w:p>
    <w:p w:rsidR="0040350C" w:rsidRDefault="00236134">
      <w:pPr>
        <w:spacing w:after="0"/>
        <w:jc w:val="center"/>
      </w:pPr>
      <w:r>
        <w:rPr>
          <w:rFonts w:ascii="Calibri" w:hAnsi="Calibri"/>
          <w:b/>
          <w:color w:val="000000"/>
        </w:rPr>
        <w:t xml:space="preserve">Oprávnění </w:t>
      </w:r>
      <w:r>
        <w:rPr>
          <w:rFonts w:ascii="Calibri" w:hAnsi="Calibri"/>
          <w:b/>
          <w:color w:val="000000"/>
        </w:rPr>
        <w:t>a povinnosti svolavatele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5"/>
        <w:gridCol w:w="8722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8"/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Svolavatel je oprávněn činit všechna opatření ke svolání shromáždění. Zejména je oprávněn v souladu s oznámeným účelem shromáždění osobně či písemně nebo jinak zvát k účasti na něm. Úřad podle možností a okolností poskytuje </w:t>
            </w:r>
            <w:r>
              <w:rPr>
                <w:rFonts w:ascii="Calibri" w:hAnsi="Calibri"/>
                <w:color w:val="444444"/>
              </w:rPr>
              <w:t>svolavateli pomoc.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Oprávnění svolavatele podle odstavce 1 zaniká, nebyla-li platně splněna oznamovací povinnost podle § 5 nebo bylo-li shromáždění zakázáno.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Je-li důvodná obava, že shromáždění bude rušeno, může svolavatel požádat úřad nebo Polici</w:t>
            </w:r>
            <w:r>
              <w:rPr>
                <w:rFonts w:ascii="Calibri" w:hAnsi="Calibri"/>
                <w:color w:val="444444"/>
              </w:rPr>
              <w:t>i České republiky, aby shromáždění byla poskytnuta ochrana.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Svolavatel vydává přímo nebo s pomocí pořadatelů účastníkům pokyny k zajištění řádného průběhu shromáždění.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Svolavatel je povinen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332"/>
            </w:tblGrid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poskytnout úřadu na jeho žádost součinnost nezbytnou </w:t>
                  </w:r>
                  <w:r>
                    <w:rPr>
                      <w:rFonts w:ascii="Calibri" w:hAnsi="Calibri"/>
                      <w:color w:val="444444"/>
                    </w:rPr>
                    <w:t>k zajištění řádného průběhu shromáždění, zejména plnit pokyny úřadu a Policie České republiky a splnit povinnosti stanovené zvláštními právními předpisy;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zajistit potřebný počet způsobilých pořadatelů starších 18 let;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být přítomen na jím oznámeném </w:t>
                  </w:r>
                  <w:r>
                    <w:rPr>
                      <w:rFonts w:ascii="Calibri" w:hAnsi="Calibri"/>
                      <w:color w:val="444444"/>
                    </w:rPr>
                    <w:t>shromáždění a řídit průběh shromáždění tak, aby se podstatně neodchylovalo od účelu shromáždění uvedeného v oznámení;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dávat závazné pokyny pořadatelům;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dbát o pokojný průběh shromáždění a činit opatření, aby nebyl narušován;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f)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shromáždění ukončit</w:t>
                  </w:r>
                  <w:r>
                    <w:rPr>
                      <w:rFonts w:ascii="Calibri" w:hAnsi="Calibri"/>
                      <w:color w:val="444444"/>
                    </w:rPr>
                    <w:t>.</w:t>
                  </w:r>
                </w:p>
              </w:tc>
            </w:tr>
          </w:tbl>
          <w:p w:rsidR="0040350C" w:rsidRDefault="0040350C"/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Nepodaří-li se svolavateli při narušení pokojného průběhu shromáždění zjednat nápravu, požádá bez zbytečného odkladu o potřebnou pomoc úřad nebo Policii České republiky</w:t>
            </w:r>
            <w:r>
              <w:rPr>
                <w:rFonts w:ascii="Calibri" w:hAnsi="Calibri"/>
                <w:color w:val="444444"/>
              </w:rPr>
              <w:t xml:space="preserve"> a vlastními prostředky vyzve účastníky k obnovení pokojného průběhu shromáždění. Může tak učinit též, jestliže se účastníci po ukončení shromáždění pokojně nerozejdou.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(7)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Vzejde-li ze shromáždění petice, postupuje se podle zvláštních </w:t>
            </w:r>
            <w:proofErr w:type="gramStart"/>
            <w:r>
              <w:rPr>
                <w:rFonts w:ascii="Calibri" w:hAnsi="Calibri"/>
                <w:color w:val="444444"/>
              </w:rPr>
              <w:t>předpisů.</w:t>
            </w:r>
            <w:r>
              <w:rPr>
                <w:rFonts w:ascii="Calibri" w:hAnsi="Calibri"/>
                <w:color w:val="444444"/>
              </w:rPr>
              <w:t>1</w:t>
            </w:r>
            <w:proofErr w:type="gramEnd"/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(8)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Ust</w:t>
            </w:r>
            <w:r>
              <w:rPr>
                <w:rFonts w:ascii="Calibri" w:hAnsi="Calibri"/>
                <w:color w:val="444444"/>
              </w:rPr>
              <w:t xml:space="preserve">anovení předchozích odstavců se přiměřeně vztahují i na shromáždění, která podle § 4 </w:t>
            </w:r>
            <w:r>
              <w:rPr>
                <w:rFonts w:ascii="Calibri" w:hAnsi="Calibri"/>
                <w:color w:val="444444"/>
              </w:rPr>
              <w:lastRenderedPageBreak/>
              <w:t>nemusí být oznamována.</w:t>
            </w:r>
          </w:p>
        </w:tc>
      </w:tr>
    </w:tbl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9" w:name="document_fragment_onrf6mjzheyf6obufzygmn"/>
    </w:p>
    <w:p w:rsidR="0040350C" w:rsidRDefault="00236134">
      <w:pPr>
        <w:spacing w:after="0"/>
        <w:jc w:val="center"/>
      </w:pPr>
      <w:bookmarkStart w:id="10" w:name="pf7"/>
      <w:r>
        <w:rPr>
          <w:rFonts w:ascii="Calibri" w:hAnsi="Calibri"/>
          <w:b/>
          <w:color w:val="BA3347"/>
          <w:sz w:val="20"/>
        </w:rPr>
        <w:t>§ 7</w:t>
      </w:r>
    </w:p>
    <w:p w:rsidR="0040350C" w:rsidRDefault="00236134">
      <w:pPr>
        <w:spacing w:after="0"/>
        <w:jc w:val="center"/>
      </w:pPr>
      <w:r>
        <w:rPr>
          <w:rFonts w:ascii="Calibri" w:hAnsi="Calibri"/>
          <w:b/>
          <w:color w:val="000000"/>
        </w:rPr>
        <w:t>Povinnosti účastníků shromáždění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0"/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Účastníci shromáždění jsou povinni dbát pokynů svolavatele a pořadatelů podle § 6 a zdržet se všeho, co </w:t>
            </w:r>
            <w:r>
              <w:rPr>
                <w:rFonts w:ascii="Calibri" w:hAnsi="Calibri"/>
                <w:color w:val="444444"/>
              </w:rPr>
              <w:t>by narušilo řádný a pokojný průběh shromáždění.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 ukončení shromáždění jsou jeho účastníci povinni se pokojně rozejít. Je-li shromáždění rozpuštěno, jsou povinni neprodleně opustit místo shromáždění. V rozchodu jim nesmí být žádným způsobem bráněno.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Účastníci shromáždění nesmějí mít u sebe střelné zbraně, výbušniny nebo pyrotechnické výrobky. Rovněž nesmějí mít u sebe jiné předměty, jimiž lze ublížit na zdraví, lze-li z okolností nebo z chování účastníků usuzovat, že mají být užity k násilí nebo </w:t>
            </w:r>
            <w:r>
              <w:rPr>
                <w:rFonts w:ascii="Calibri" w:hAnsi="Calibri"/>
                <w:color w:val="444444"/>
              </w:rPr>
              <w:t>pohrůžce násilím.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Účastníci shromáždění nesmějí mít obličej zakrytý způsobem ztěžujícím nebo znemožňujícím jejich identifikaci.</w:t>
            </w:r>
          </w:p>
        </w:tc>
      </w:tr>
    </w:tbl>
    <w:bookmarkEnd w:id="9"/>
    <w:p w:rsidR="0040350C" w:rsidRDefault="00236134">
      <w:pPr>
        <w:spacing w:after="0"/>
        <w:jc w:val="center"/>
      </w:pPr>
      <w:r>
        <w:rPr>
          <w:rFonts w:ascii="Calibri" w:hAnsi="Calibri"/>
          <w:b/>
          <w:color w:val="000000"/>
        </w:rPr>
        <w:t>Působnost úřadu</w:t>
      </w:r>
    </w:p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11" w:name="pf8"/>
      <w:r>
        <w:rPr>
          <w:rFonts w:ascii="Calibri" w:hAnsi="Calibri"/>
          <w:b/>
          <w:color w:val="BA3347"/>
          <w:sz w:val="20"/>
        </w:rPr>
        <w:t>§ 8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1"/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Úřad může s ohledem na místní podmínky nebo na veřejný pořádek navrhnout svolavateli, aby se </w:t>
            </w:r>
            <w:r>
              <w:rPr>
                <w:rFonts w:ascii="Calibri" w:hAnsi="Calibri"/>
                <w:color w:val="444444"/>
              </w:rPr>
              <w:t>shromáždění konalo na jiném místě nebo v jinou dobu.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Úřad může v nezbytných případech pro účely ochrany veřejného pořádku nebo práv a svobod jiných rozhodnutím stanovit podmínky konání shromáždění. Úřad může stanovit podmínky pro konání shromáždění ze</w:t>
            </w:r>
            <w:r>
              <w:rPr>
                <w:rFonts w:ascii="Calibri" w:hAnsi="Calibri"/>
                <w:color w:val="444444"/>
              </w:rPr>
              <w:t>jména tehdy, má-li se na stejném místě a ve stejnou dobu konat jiné shromáždění nebo veřejnosti přístupný kulturní, sportovní nebo jiný společenský podnik (dále jen „veřejnosti přístupný podnik“) a mezi svolavateli nebo mezi svolavatelem a osobou pořádajíc</w:t>
            </w:r>
            <w:r>
              <w:rPr>
                <w:rFonts w:ascii="Calibri" w:hAnsi="Calibri"/>
                <w:color w:val="444444"/>
              </w:rPr>
              <w:t>í veřejnosti přístupný podnik nedošlo k dohodě o úpravě doby nebo místa konání shromáždění nebo veřejnosti přístupného podniku.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Úřad může vyslat na shromáždění svého zástupce, jemuž je svolavatel povinen vytvořit podmínky pro řádné plnění jeho úkolů, </w:t>
            </w:r>
            <w:r>
              <w:rPr>
                <w:rFonts w:ascii="Calibri" w:hAnsi="Calibri"/>
                <w:color w:val="444444"/>
              </w:rPr>
              <w:t>zejména mu umožnit sledování průběhu shromáždění a provedení úkonů nezbytných k případnému rozpuštění shromáždění.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Zástupce úřadu může v místě shromáždění udílet pokyny sloužící k zajištění účelu shromáždění, k odstranění rozporů při střetu práv více </w:t>
            </w:r>
            <w:r>
              <w:rPr>
                <w:rFonts w:ascii="Calibri" w:hAnsi="Calibri"/>
                <w:color w:val="444444"/>
              </w:rPr>
              <w:t>svolavatelů, včetně pokynu k úpravě místa konání shromáždění, nebo při střetu různých práv a k ochraně veřejného pořádku, zdraví a majetku.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Zástupce úřadu při výkonu svého oprávnění postupuje tak, aby případný zásah do práva na svobodu shromažďování </w:t>
            </w:r>
            <w:r>
              <w:rPr>
                <w:rFonts w:ascii="Calibri" w:hAnsi="Calibri"/>
                <w:color w:val="444444"/>
              </w:rPr>
              <w:t>nebo jiného práva šetřil jeho podstatu a nepřekročil míru nezbytnou k dosažení účelu sledovaného zákonem.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Není-li zástupce úřadu přítomen nebo vyžadují-li to okolnosti na místě, zejména rozsah či povaha shromáždění, může podle odstavců 3 až 5 obdobně </w:t>
            </w:r>
            <w:r>
              <w:rPr>
                <w:rFonts w:ascii="Calibri" w:hAnsi="Calibri"/>
                <w:color w:val="444444"/>
              </w:rPr>
              <w:t>postupovat příslušník Policie České republiky (dále jen „policista“).</w:t>
            </w:r>
          </w:p>
        </w:tc>
      </w:tr>
    </w:tbl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2" w:name="document_fragment_onrf6mjzheyf6obufzygmo"/>
    </w:p>
    <w:p w:rsidR="0040350C" w:rsidRDefault="00236134">
      <w:pPr>
        <w:spacing w:after="0"/>
        <w:jc w:val="center"/>
      </w:pPr>
      <w:bookmarkStart w:id="13" w:name="pf9"/>
      <w:r>
        <w:rPr>
          <w:rFonts w:ascii="Calibri" w:hAnsi="Calibri"/>
          <w:b/>
          <w:color w:val="BA3347"/>
          <w:sz w:val="20"/>
        </w:rPr>
        <w:t>§ 9</w:t>
      </w:r>
    </w:p>
    <w:bookmarkEnd w:id="13"/>
    <w:p w:rsidR="0040350C" w:rsidRDefault="00236134">
      <w:pPr>
        <w:spacing w:after="60"/>
        <w:jc w:val="both"/>
      </w:pPr>
      <w:r>
        <w:rPr>
          <w:rFonts w:ascii="Calibri" w:hAnsi="Calibri"/>
          <w:color w:val="444444"/>
          <w:sz w:val="20"/>
        </w:rPr>
        <w:lastRenderedPageBreak/>
        <w:t>Úřad může svolavateli uložit, aby shromáždění konané ve večerních hodinách bylo ukončeno tak, aby nedošlo k nepřiměřenému rušení nočního klidu.</w:t>
      </w:r>
    </w:p>
    <w:bookmarkEnd w:id="12"/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14" w:name="pf10"/>
      <w:r>
        <w:rPr>
          <w:rFonts w:ascii="Calibri" w:hAnsi="Calibri"/>
          <w:b/>
          <w:color w:val="BA3347"/>
          <w:sz w:val="20"/>
        </w:rPr>
        <w:t>§ 10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4"/>
        <w:gridCol w:w="8723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4"/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Úřad, jemuž bylo shromáždě</w:t>
            </w:r>
            <w:r>
              <w:rPr>
                <w:rFonts w:ascii="Calibri" w:hAnsi="Calibri"/>
                <w:color w:val="444444"/>
              </w:rPr>
              <w:t>ní oznámeno, je zakáže, jestliže by účel shromáždění směřoval k výzvě: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4"/>
              <w:gridCol w:w="8334"/>
            </w:tblGrid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popírat nebo omezovat osobní, politická nebo jiná práva osob</w:t>
                  </w:r>
                  <w:r>
                    <w:rPr>
                      <w:rFonts w:ascii="Calibri" w:hAnsi="Calibri"/>
                      <w:color w:val="444444"/>
                    </w:rPr>
                    <w:t xml:space="preserve"> pro jejich národnost, pohlaví, rasu, původ, politické nebo jiné smýšlení, náboženské vyznání a sociální postavení nebo k rozněcování nenávisti a nesnášenlivosti z těchto důvodů;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dopouštět se násilí nebo hrubé neslušnosti;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jinak porušovat ústavu a </w:t>
                  </w:r>
                  <w:r>
                    <w:rPr>
                      <w:rFonts w:ascii="Calibri" w:hAnsi="Calibri"/>
                      <w:color w:val="444444"/>
                    </w:rPr>
                    <w:t>zákony.</w:t>
                  </w:r>
                </w:p>
              </w:tc>
            </w:tr>
          </w:tbl>
          <w:p w:rsidR="0040350C" w:rsidRDefault="0040350C"/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Úřad shromáždění zakáže též tehdy, jestliže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6"/>
              <w:gridCol w:w="8332"/>
            </w:tblGrid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proofErr w:type="gramStart"/>
                  <w:r>
                    <w:rPr>
                      <w:rFonts w:ascii="Calibri" w:hAnsi="Calibri"/>
                      <w:color w:val="444444"/>
                    </w:rPr>
                    <w:t>se má</w:t>
                  </w:r>
                  <w:proofErr w:type="gramEnd"/>
                  <w:r>
                    <w:rPr>
                      <w:rFonts w:ascii="Calibri" w:hAnsi="Calibri"/>
                      <w:color w:val="444444"/>
                    </w:rPr>
                    <w:t xml:space="preserve"> konat na místě, kde by účastníkům hrozilo závažné nebezpečí pro jejich zdraví,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na stejném místě a ve stejnou dobu se má podle dříve doručeného oznámení konat jiné shromáždění, mezi </w:t>
                  </w:r>
                  <w:r>
                    <w:rPr>
                      <w:rFonts w:ascii="Calibri" w:hAnsi="Calibri"/>
                      <w:color w:val="444444"/>
                    </w:rPr>
                    <w:t>svolavateli nedošlo k dohodě o úpravě doby nebo místa jeho konání a stanovení podmínek podle § 8 odst. 2 by bylo zjevně neúčelné; nelze-li určit, které oznámení bylo doručeno dříve, rozhodne se za účasti zástupců svolavatelů losováním.</w:t>
                  </w:r>
                </w:p>
              </w:tc>
            </w:tr>
          </w:tbl>
          <w:p w:rsidR="0040350C" w:rsidRDefault="0040350C"/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Úřad může </w:t>
            </w:r>
            <w:r>
              <w:rPr>
                <w:rFonts w:ascii="Calibri" w:hAnsi="Calibri"/>
                <w:color w:val="444444"/>
              </w:rPr>
              <w:t>shromáždění zakázat, má-li být konáno v místě, kde by nutné omezení dopravy a zásobování bylo v závažném rozporu se zájmem obyvatelstva, lze-li bez nepřiměřených obtíží konat shromáždění jinde, aniž by se tím zmařil oznámený účel shromáždění.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Úřad nemůže shromáždění zakázat z důvodů uvedených v odstavcích 2 a 3, jestliže svolavatel přijal návrh úřadu podle § 8 odst. 1.</w:t>
            </w:r>
          </w:p>
        </w:tc>
      </w:tr>
    </w:tbl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15" w:name="pf11"/>
      <w:r>
        <w:rPr>
          <w:rFonts w:ascii="Calibri" w:hAnsi="Calibri"/>
          <w:b/>
          <w:color w:val="BA3347"/>
          <w:sz w:val="20"/>
        </w:rPr>
        <w:t>§ 11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5"/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O zákazu shromáždění rozhodne úřad bez zbytečného odkladu, nejpozději však do 3 pracovních dnů od okamžiku, kdy ozná</w:t>
            </w:r>
            <w:r>
              <w:rPr>
                <w:rFonts w:ascii="Calibri" w:hAnsi="Calibri"/>
                <w:color w:val="444444"/>
              </w:rPr>
              <w:t>mení, které obdržel, splňuje náležitosti požadované tímto zákonem. O stanovení podmínek pro konání shromáždění rozhodne úřad do 3 pracovních dnů od okamžiku, kdy mu bylo způsobem podle věty první oznámeno jiné shromáždění na daném místě nebo kdy se dozvědě</w:t>
            </w:r>
            <w:r>
              <w:rPr>
                <w:rFonts w:ascii="Calibri" w:hAnsi="Calibri"/>
                <w:color w:val="444444"/>
              </w:rPr>
              <w:t>l o jiných okolnostech odůvodňujících stanovení podmínek konání shromáždění, nejpozději však 2 pracovní dny před konáním kteréhokoliv z dotčených shromáždění. Stanovení podmínek konání shromáždění nesmí bránit v konání nebo splnění účelu dříve oznámeného s</w:t>
            </w:r>
            <w:r>
              <w:rPr>
                <w:rFonts w:ascii="Calibri" w:hAnsi="Calibri"/>
                <w:color w:val="444444"/>
              </w:rPr>
              <w:t>hromáždění nebo dříve připraveného veřejnosti přístupného podniku. Proti rozhodnutí podle vět první a druhé se nelze odvolat.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Úřad rozhodnutí podle odstavce 1 doručí veřejnou vyhláškou. Úřad zašle svolavateli písemné vyhotovení rozhodnutí bez </w:t>
            </w:r>
            <w:r>
              <w:rPr>
                <w:rFonts w:ascii="Calibri" w:hAnsi="Calibri"/>
                <w:color w:val="444444"/>
              </w:rPr>
              <w:t>zbytečného odkladu na vědomí. Rozhodnutí je doručeno vyvěšením.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Žalobu proti rozhodnutí úřadu podle odstavce 1 může svolavatel podat do 15 dnů od jeho doručení. Soud rozhodne do 3 pracovních dnů od podání žaloby, a pokud nejsou splněny podmínky řízení</w:t>
            </w:r>
            <w:r>
              <w:rPr>
                <w:rFonts w:ascii="Calibri" w:hAnsi="Calibri"/>
                <w:color w:val="444444"/>
              </w:rPr>
              <w:t xml:space="preserve">, pak od odstranění vad podání, k jejichž odstranění je soud povinen vyzvat bez zbytečného odkladu. Soud v řízení doručuje účastníkům a osobám zúčastněným na řízení vyvěšením na úřední desce soudu. Soud zároveň s vyvěšením zašle písemnost na vědomí </w:t>
            </w:r>
            <w:r>
              <w:rPr>
                <w:rFonts w:ascii="Calibri" w:hAnsi="Calibri"/>
                <w:color w:val="444444"/>
              </w:rPr>
              <w:lastRenderedPageBreak/>
              <w:t>způsobe</w:t>
            </w:r>
            <w:r>
              <w:rPr>
                <w:rFonts w:ascii="Calibri" w:hAnsi="Calibri"/>
                <w:color w:val="444444"/>
              </w:rPr>
              <w:t xml:space="preserve">m, kterým by ji jinak podle soudního řádu správního doručoval, a podle okolností může použít i další způsoby vyrozumění účastníků a osob zúčastněných na řízení tak, aby byla co nejvíce šetřena jejich práva. Svolavatel je po zrušení rozhodnutí úřadu soudem </w:t>
            </w:r>
            <w:r>
              <w:rPr>
                <w:rFonts w:ascii="Calibri" w:hAnsi="Calibri"/>
                <w:color w:val="444444"/>
              </w:rPr>
              <w:t>oprávněn shromáždění uspořádat v souladu s oznámením. Pokud soud zruší rozhodnutí úřadu po dni oznámeného shromáždění, lze je konat později tak, aby bylo uskutečněno do 30 dnů ode dne nabytí právní moci rozhodnutí soudu; v takovém případě svolavatel vyrozu</w:t>
            </w:r>
            <w:r>
              <w:rPr>
                <w:rFonts w:ascii="Calibri" w:hAnsi="Calibri"/>
                <w:color w:val="444444"/>
              </w:rPr>
              <w:t>mí úřad o dni konání shromáždění nejpozději 1 pracovní den před jeho konáním.</w:t>
            </w:r>
          </w:p>
        </w:tc>
      </w:tr>
    </w:tbl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16" w:name="pf12"/>
      <w:r>
        <w:rPr>
          <w:rFonts w:ascii="Calibri" w:hAnsi="Calibri"/>
          <w:b/>
          <w:color w:val="BA3347"/>
          <w:sz w:val="20"/>
        </w:rPr>
        <w:t>§ 12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6"/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Jestliže se shromáždění koná, ačkoliv je zakázáno, vyzve zástupce úřadu svolavatele způsobem uvedeným v odstavci 5, aby shromáždění neprodleně ukončil.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Shromážděn</w:t>
            </w:r>
            <w:r>
              <w:rPr>
                <w:rFonts w:ascii="Calibri" w:hAnsi="Calibri"/>
                <w:color w:val="444444"/>
              </w:rPr>
              <w:t>í, které se koná, aniž bylo oznámeno podle § 5, může zástupce úřadu rozpustit, jestliže nastaly okolnosti, které by odůvodnily jeho zákaz podle § 10 odst. 1 až 3, nebo je-li zakázáno ze zákona. To platí i pro shromáždění, která se neoznamují.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Shromáždění, které bylo oznámeno a nebylo zakázáno, může být způsobem uvedeným v odstavci 5 rozpuštěno, jestliže se podstatně odchýlilo od oznámeného účelu takovým způsobem, že v průběhu shromáždění nastaly okolnosti, které by odůvodnily jeho zákaz podle §</w:t>
            </w:r>
            <w:r>
              <w:rPr>
                <w:rFonts w:ascii="Calibri" w:hAnsi="Calibri"/>
                <w:color w:val="444444"/>
              </w:rPr>
              <w:t> 10 odst. 1, nebo pokud nastaly mimořádné okolnosti, které by odůvodnily jeho zákaz podle § 10 odst. 2 nebo 3.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Shromáždění může být rozpuštěno způsobem stanoveným v odstavci 5, jestliže se lze důvodně domnívat, že jeho účastníci při něm páchají trestn</w:t>
            </w:r>
            <w:r>
              <w:rPr>
                <w:rFonts w:ascii="Calibri" w:hAnsi="Calibri"/>
                <w:color w:val="444444"/>
              </w:rPr>
              <w:t>é činy, pokud se účastníci neřídí rozhodnutím úřadu nebo nebyly splněny povinnosti účastníků shromáždění podle § 7 odst. 3 a 4 a nápravu se nepodařilo zjednat jiným způsobem, zejména zákrokem proti jednotlivým účastníkům shromáždění.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(5)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Rozpuštění je zás</w:t>
            </w:r>
            <w:r>
              <w:rPr>
                <w:rFonts w:ascii="Calibri" w:hAnsi="Calibri"/>
                <w:color w:val="444444"/>
              </w:rPr>
              <w:t>ahem na místě. Shromáždění rozpouští zástupce úřadu výzvou svolavateli, aby shromáždění ukončil. Pokud svolavatel neučiní účinná opatření, aby se účastníci pokojně rozešli, zejména je nevyzve k rozchodu, sdělí zástupce úřadu účastníkům, že shromáždění je r</w:t>
            </w:r>
            <w:r>
              <w:rPr>
                <w:rFonts w:ascii="Calibri" w:hAnsi="Calibri"/>
                <w:color w:val="444444"/>
              </w:rPr>
              <w:t xml:space="preserve">ozpuštěno, a vyzve je, aby se pokojně rozešli. Sdělení musí obsahovat důvody k rozpuštění a upozornění na následky neuposlechnutí této výzvy a musí být učiněno takovým způsobem, aby bylo účastníkům srozumitelné a aby se s ním všichni účastníci shromáždění </w:t>
            </w:r>
            <w:r>
              <w:rPr>
                <w:rFonts w:ascii="Calibri" w:hAnsi="Calibri"/>
                <w:color w:val="444444"/>
              </w:rPr>
              <w:t>mohli seznámit.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(6)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Nekoná-li zástupce úřadu nebo je-li zástupce úřadu nepřítomný, může shromáždění rozpustit i policista a dále zástupce krajského úřadu, v jehož správním obvodu se shromáždění koná, nebo Ministerstva vnitra; ustanovení odstavce 5 se použ</w:t>
            </w:r>
            <w:r>
              <w:rPr>
                <w:rFonts w:ascii="Calibri" w:hAnsi="Calibri"/>
                <w:color w:val="444444"/>
              </w:rPr>
              <w:t>ije obdobně. Jestliže byl úkon směřující k rozpuštění shromáždění proveden bez přítomnosti zástupce úřadu, policista nebo zástupce správního orgánu podle věty první vyrozumí do 15 dnů úřad o provedeném zákroku.</w:t>
            </w:r>
          </w:p>
        </w:tc>
      </w:tr>
    </w:tbl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17" w:name="pf13"/>
      <w:r>
        <w:rPr>
          <w:rFonts w:ascii="Calibri" w:hAnsi="Calibri"/>
          <w:b/>
          <w:color w:val="BA3347"/>
          <w:sz w:val="20"/>
        </w:rPr>
        <w:t>§ 13</w:t>
      </w:r>
    </w:p>
    <w:bookmarkEnd w:id="17"/>
    <w:p w:rsidR="0040350C" w:rsidRDefault="00236134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Žalobu proti rozpuštění shromáždění </w:t>
      </w:r>
      <w:r>
        <w:rPr>
          <w:rFonts w:ascii="Calibri" w:hAnsi="Calibri"/>
          <w:color w:val="444444"/>
          <w:sz w:val="20"/>
        </w:rPr>
        <w:t>může svolavatel nebo účastník shromáždění podat do 15 dnů.</w:t>
      </w:r>
    </w:p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18" w:name="pf14"/>
      <w:r>
        <w:rPr>
          <w:rFonts w:ascii="Calibri" w:hAnsi="Calibri"/>
          <w:b/>
          <w:color w:val="BA3347"/>
          <w:sz w:val="20"/>
        </w:rPr>
        <w:t>§ 14</w:t>
      </w:r>
    </w:p>
    <w:p w:rsidR="0040350C" w:rsidRDefault="00236134">
      <w:pPr>
        <w:spacing w:after="0"/>
        <w:jc w:val="center"/>
      </w:pPr>
      <w:r>
        <w:rPr>
          <w:rFonts w:ascii="Calibri" w:hAnsi="Calibri"/>
          <w:b/>
          <w:color w:val="000000"/>
        </w:rPr>
        <w:t>Přestupky fyzických osob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4"/>
        <w:gridCol w:w="8723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8"/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Fyzická osoba se dopustí přestupku tím, že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3"/>
              <w:gridCol w:w="8335"/>
            </w:tblGrid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neuposlechne pokyn svolavatele anebo určených pořadatelů shromáždění nebo těmto osobám brání v plnění jejich povinno</w:t>
                  </w:r>
                  <w:r>
                    <w:rPr>
                      <w:rFonts w:ascii="Calibri" w:hAnsi="Calibri"/>
                      <w:color w:val="444444"/>
                    </w:rPr>
                    <w:t>sti,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 rozporu s § 7 odst. 2 brání účastníkům shromáždění, aby se pokojně rozešli,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neoprávněně ztěžuje účastníkům shromáždění přístup na shromáždění nebo jim v něm brání,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nesplní pokyn zástupce úřadu nebo policisty udělený na základě § 8 odst. </w:t>
                  </w:r>
                  <w:r>
                    <w:rPr>
                      <w:rFonts w:ascii="Calibri" w:hAnsi="Calibri"/>
                      <w:color w:val="444444"/>
                    </w:rPr>
                    <w:t>4,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brání účastníkům shromáždění ve splnění účelu shromáždění nepřístojným chováním, nebo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f)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neoprávněně úmyslně brání jinému v podstatném rozsahu ve výkonu práva shromažďovacího.</w:t>
                  </w:r>
                </w:p>
              </w:tc>
            </w:tr>
          </w:tbl>
          <w:p w:rsidR="0040350C" w:rsidRDefault="0040350C"/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Fyzická osoba se jako účastník shromáždění dopustí přestupku tím,</w:t>
            </w:r>
            <w:r>
              <w:rPr>
                <w:rFonts w:ascii="Calibri" w:hAnsi="Calibri"/>
                <w:color w:val="444444"/>
              </w:rPr>
              <w:t xml:space="preserve"> že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5"/>
              <w:gridCol w:w="8333"/>
            </w:tblGrid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 rozporu s § 7 odst. 3 má u sebe střelnou zbraň, výbušninu nebo pyrotechnický výrobek anebo jiné předměty, jimiž lze ublížit na zdraví,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 rozporu s § 7 odst. 4 má zakrytý obličej způsobem ztěžujícím nebo znemožňujícím jeho identifikaci, nebo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 rozporu s § 12 odst. 5 neuposlechne výzvy svolavatele k pokojnému rozchodu z ukončeného shromáždění anebo neuposlechne výzvy zástupce úřadu nebo policisty k pokojnému rozchodu z rozpuštěného shromáždění.</w:t>
                  </w:r>
                </w:p>
              </w:tc>
            </w:tr>
          </w:tbl>
          <w:p w:rsidR="0040350C" w:rsidRDefault="0040350C"/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Fyzická osoba se jako svolavatel shromáž</w:t>
            </w:r>
            <w:r>
              <w:rPr>
                <w:rFonts w:ascii="Calibri" w:hAnsi="Calibri"/>
                <w:color w:val="444444"/>
              </w:rPr>
              <w:t>dění dopustí přestupku tím, že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6"/>
              <w:gridCol w:w="8332"/>
            </w:tblGrid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 rozporu s § 5 odst. 1 svolá nebo pořádá shromáždění bez oznámení,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pořádá shromáždění, které je na základě zákona nebo rozhodnutí úřadu zakázáno, nebo takové zakázané shromáždění svolává,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 xml:space="preserve">bez vážného důvodu </w:t>
                  </w:r>
                  <w:r>
                    <w:rPr>
                      <w:rFonts w:ascii="Calibri" w:hAnsi="Calibri"/>
                      <w:color w:val="444444"/>
                    </w:rPr>
                    <w:t>nesplní některou z povinností podle § 6 odst. 4 až 6,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nesplní některou z podmínek pro konání shromáždění stanovenou úřadem na základě § 8 odst. 2, nebo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e)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 rozporu s § 12 odst. 5 neučiní účinná opatření, aby se účastníci shromáždění pokojně rozešli.</w:t>
                  </w:r>
                </w:p>
              </w:tc>
            </w:tr>
          </w:tbl>
          <w:p w:rsidR="0040350C" w:rsidRDefault="0040350C"/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Za přestupek podle odstavců 1 až 3 lze uložit pokutu do 15 000 Kč.</w:t>
            </w:r>
          </w:p>
        </w:tc>
      </w:tr>
    </w:tbl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19" w:name="pf14a"/>
      <w:r>
        <w:rPr>
          <w:rFonts w:ascii="Calibri" w:hAnsi="Calibri"/>
          <w:b/>
          <w:color w:val="BA3347"/>
          <w:sz w:val="20"/>
        </w:rPr>
        <w:t>§ 14a</w:t>
      </w:r>
    </w:p>
    <w:p w:rsidR="0040350C" w:rsidRDefault="00236134">
      <w:pPr>
        <w:spacing w:after="0"/>
        <w:jc w:val="center"/>
      </w:pPr>
      <w:r>
        <w:rPr>
          <w:rFonts w:ascii="Calibri" w:hAnsi="Calibri"/>
          <w:b/>
          <w:color w:val="000000"/>
        </w:rPr>
        <w:t>Přestupky právnických osob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6"/>
        <w:gridCol w:w="8721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19"/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Právnická osoba se jako svolavatel shromáždění dopustí přestupku tím, že</w:t>
            </w:r>
          </w:p>
          <w:tbl>
            <w:tblPr>
              <w:tblW w:w="0" w:type="auto"/>
              <w:tblCellSpacing w:w="0" w:type="dxa"/>
              <w:tblLook w:val="04A0" w:firstRow="1" w:lastRow="0" w:firstColumn="1" w:lastColumn="0" w:noHBand="0" w:noVBand="1"/>
            </w:tblPr>
            <w:tblGrid>
              <w:gridCol w:w="316"/>
              <w:gridCol w:w="8330"/>
            </w:tblGrid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a)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 rozporu s § 5 odst. 1 svolá nebo pořádá shromáždění bez oznámení,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b)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pořádá shromáždění, které je na základě zákona nebo rozhodnutí úřadu zakázáno, nebo takové zakázané shromáždění svolává,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c)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nesplní některou z povinností podle § 6 odst. 4 až 6,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t>d)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nesplní některou z podmínek pro konání shromáždění stanovenou úřadem</w:t>
                  </w:r>
                  <w:r>
                    <w:rPr>
                      <w:rFonts w:ascii="Calibri" w:hAnsi="Calibri"/>
                      <w:color w:val="444444"/>
                    </w:rPr>
                    <w:t xml:space="preserve"> na základě § 8 </w:t>
                  </w:r>
                  <w:r>
                    <w:rPr>
                      <w:rFonts w:ascii="Calibri" w:hAnsi="Calibri"/>
                      <w:color w:val="444444"/>
                    </w:rPr>
                    <w:lastRenderedPageBreak/>
                    <w:t>odst. 2, nebo</w:t>
                  </w:r>
                </w:p>
              </w:tc>
            </w:tr>
            <w:tr w:rsidR="0040350C">
              <w:trPr>
                <w:trHeight w:val="30"/>
                <w:tblCellSpacing w:w="0" w:type="dxa"/>
              </w:trPr>
              <w:tc>
                <w:tcPr>
                  <w:tcW w:w="380" w:type="dxa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</w:tcPr>
                <w:p w:rsidR="0040350C" w:rsidRDefault="00236134">
                  <w:pPr>
                    <w:spacing w:after="0"/>
                  </w:pPr>
                  <w:r>
                    <w:rPr>
                      <w:rFonts w:ascii="Calibri" w:hAnsi="Calibri"/>
                      <w:color w:val="000000"/>
                      <w:sz w:val="20"/>
                    </w:rPr>
                    <w:lastRenderedPageBreak/>
                    <w:t>e)</w:t>
                  </w:r>
                </w:p>
              </w:tc>
              <w:tc>
                <w:tcPr>
                  <w:tcW w:w="12114" w:type="dxa"/>
                  <w:tcMar>
                    <w:top w:w="30" w:type="dxa"/>
                    <w:left w:w="60" w:type="dxa"/>
                    <w:bottom w:w="15" w:type="dxa"/>
                    <w:right w:w="15" w:type="dxa"/>
                  </w:tcMar>
                  <w:vAlign w:val="center"/>
                </w:tcPr>
                <w:p w:rsidR="0040350C" w:rsidRDefault="00236134">
                  <w:pPr>
                    <w:spacing w:after="60"/>
                    <w:jc w:val="both"/>
                  </w:pPr>
                  <w:r>
                    <w:rPr>
                      <w:rFonts w:ascii="Calibri" w:hAnsi="Calibri"/>
                      <w:color w:val="444444"/>
                    </w:rPr>
                    <w:t>v rozporu s § 12 odst. 5 neučiní účinná opatření, aby se účastníci shromáždění pokojně rozešli.</w:t>
                  </w:r>
                </w:p>
              </w:tc>
            </w:tr>
          </w:tbl>
          <w:p w:rsidR="0040350C" w:rsidRDefault="0040350C"/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Za přestupek podle odstavce 1 lze uložit pokutu do 30 000 Kč.</w:t>
            </w:r>
          </w:p>
        </w:tc>
      </w:tr>
    </w:tbl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20" w:name="pf14b"/>
      <w:r>
        <w:rPr>
          <w:rFonts w:ascii="Calibri" w:hAnsi="Calibri"/>
          <w:b/>
          <w:color w:val="BA3347"/>
          <w:sz w:val="20"/>
        </w:rPr>
        <w:t>§ 14b</w:t>
      </w:r>
    </w:p>
    <w:p w:rsidR="0040350C" w:rsidRDefault="00236134">
      <w:pPr>
        <w:spacing w:after="0"/>
        <w:jc w:val="center"/>
      </w:pPr>
      <w:r>
        <w:rPr>
          <w:rFonts w:ascii="Calibri" w:hAnsi="Calibri"/>
          <w:b/>
          <w:color w:val="000000"/>
        </w:rPr>
        <w:t>Společná ustanovení k přestupkům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37"/>
        <w:gridCol w:w="8720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0"/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Přestupky</w:t>
            </w:r>
            <w:r>
              <w:rPr>
                <w:rFonts w:ascii="Calibri" w:hAnsi="Calibri"/>
                <w:color w:val="444444"/>
              </w:rPr>
              <w:t xml:space="preserve"> podle tohoto zákona projednává v přenesené působnosti obec.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Pokuty vybírá a vymáhá orgán, který je uložil. </w:t>
            </w:r>
          </w:p>
        </w:tc>
      </w:tr>
    </w:tbl>
    <w:p w:rsidR="0040350C" w:rsidRDefault="00236134">
      <w:pPr>
        <w:spacing w:after="0"/>
        <w:jc w:val="center"/>
      </w:pPr>
      <w:r>
        <w:rPr>
          <w:rFonts w:ascii="Calibri" w:hAnsi="Calibri"/>
          <w:b/>
          <w:color w:val="000000"/>
        </w:rPr>
        <w:t>Společná ustanovení</w:t>
      </w:r>
    </w:p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21" w:name="pf15"/>
      <w:r>
        <w:rPr>
          <w:rFonts w:ascii="Calibri" w:hAnsi="Calibri"/>
          <w:b/>
          <w:color w:val="BA3347"/>
          <w:sz w:val="20"/>
        </w:rPr>
        <w:t>§ 15</w:t>
      </w:r>
    </w:p>
    <w:p w:rsidR="0040350C" w:rsidRDefault="00236134">
      <w:pPr>
        <w:spacing w:after="60"/>
      </w:pPr>
      <w:r>
        <w:rPr>
          <w:rFonts w:ascii="Calibri" w:hAnsi="Calibri"/>
          <w:i/>
          <w:color w:val="444444"/>
        </w:rPr>
        <w:t>zrušen</w:t>
      </w:r>
    </w:p>
    <w:bookmarkEnd w:id="21"/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22" w:name="pf16"/>
      <w:r>
        <w:rPr>
          <w:rFonts w:ascii="Calibri" w:hAnsi="Calibri"/>
          <w:b/>
          <w:color w:val="BA3347"/>
          <w:sz w:val="20"/>
        </w:rPr>
        <w:t>§ 16</w:t>
      </w:r>
    </w:p>
    <w:bookmarkEnd w:id="22"/>
    <w:p w:rsidR="0040350C" w:rsidRDefault="00236134">
      <w:pPr>
        <w:spacing w:after="60"/>
        <w:jc w:val="both"/>
      </w:pPr>
      <w:r>
        <w:rPr>
          <w:rFonts w:ascii="Calibri" w:hAnsi="Calibri"/>
          <w:color w:val="444444"/>
          <w:sz w:val="20"/>
        </w:rPr>
        <w:t>Rozhodnutí vydané podle § 8 odst. 2 a § 10 je prvním úkonem v řízení.</w:t>
      </w:r>
    </w:p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23" w:name="pf17"/>
      <w:r>
        <w:rPr>
          <w:rFonts w:ascii="Calibri" w:hAnsi="Calibri"/>
          <w:b/>
          <w:color w:val="BA3347"/>
          <w:sz w:val="20"/>
        </w:rPr>
        <w:t>§ 17</w:t>
      </w:r>
    </w:p>
    <w:bookmarkEnd w:id="23"/>
    <w:p w:rsidR="0040350C" w:rsidRDefault="00236134">
      <w:pPr>
        <w:spacing w:after="60"/>
        <w:jc w:val="both"/>
      </w:pPr>
      <w:r>
        <w:rPr>
          <w:rFonts w:ascii="Calibri" w:hAnsi="Calibri"/>
          <w:color w:val="444444"/>
          <w:sz w:val="20"/>
        </w:rPr>
        <w:t>Je-li v tomto zákonu lhůta</w:t>
      </w:r>
      <w:r>
        <w:rPr>
          <w:rFonts w:ascii="Calibri" w:hAnsi="Calibri"/>
          <w:color w:val="444444"/>
          <w:sz w:val="20"/>
        </w:rPr>
        <w:t xml:space="preserve"> určena počtem dnů, rozumí se jedním dnem doba 24 hodin od události, k níž se lhůta váže.</w:t>
      </w:r>
    </w:p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24" w:name="pf18"/>
      <w:r>
        <w:rPr>
          <w:rFonts w:ascii="Calibri" w:hAnsi="Calibri"/>
          <w:b/>
          <w:color w:val="BA3347"/>
          <w:sz w:val="20"/>
        </w:rPr>
        <w:t>§ 18</w:t>
      </w:r>
    </w:p>
    <w:p w:rsidR="0040350C" w:rsidRDefault="00236134">
      <w:pPr>
        <w:spacing w:after="60"/>
      </w:pPr>
      <w:r>
        <w:rPr>
          <w:rFonts w:ascii="Calibri" w:hAnsi="Calibri"/>
          <w:i/>
          <w:color w:val="444444"/>
        </w:rPr>
        <w:t>zrušen</w:t>
      </w:r>
    </w:p>
    <w:bookmarkEnd w:id="24"/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25" w:name="pf19"/>
      <w:r>
        <w:rPr>
          <w:rFonts w:ascii="Calibri" w:hAnsi="Calibri"/>
          <w:b/>
          <w:color w:val="BA3347"/>
          <w:sz w:val="20"/>
        </w:rPr>
        <w:t>§ 19</w:t>
      </w:r>
    </w:p>
    <w:bookmarkEnd w:id="25"/>
    <w:p w:rsidR="0040350C" w:rsidRDefault="00236134">
      <w:pPr>
        <w:spacing w:after="60"/>
        <w:jc w:val="both"/>
      </w:pPr>
      <w:r>
        <w:rPr>
          <w:rFonts w:ascii="Calibri" w:hAnsi="Calibri"/>
          <w:color w:val="444444"/>
          <w:sz w:val="20"/>
        </w:rPr>
        <w:t>Ustanovení zákonů o mimořádných opatřeních v době vyhlášení stavu nebezpečí, nouzového stavu, stavu ohrožení státu nebo válečného stavu a o opatřen</w:t>
      </w:r>
      <w:r>
        <w:rPr>
          <w:rFonts w:ascii="Calibri" w:hAnsi="Calibri"/>
          <w:color w:val="444444"/>
          <w:sz w:val="20"/>
        </w:rPr>
        <w:t>ích proti šíření infekčních onemocnění</w:t>
      </w:r>
      <w:r>
        <w:rPr>
          <w:rFonts w:ascii="Calibri" w:hAnsi="Calibri"/>
          <w:color w:val="444444"/>
        </w:rPr>
        <w:t>3</w:t>
      </w:r>
      <w:r>
        <w:rPr>
          <w:rFonts w:ascii="Calibri" w:hAnsi="Calibri"/>
          <w:color w:val="444444"/>
          <w:sz w:val="20"/>
        </w:rPr>
        <w:t xml:space="preserve"> nejsou tímto zákonem dotčena.</w:t>
      </w:r>
    </w:p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26" w:name="pf20"/>
      <w:r>
        <w:rPr>
          <w:rFonts w:ascii="Calibri" w:hAnsi="Calibri"/>
          <w:b/>
          <w:color w:val="BA3347"/>
          <w:sz w:val="20"/>
        </w:rPr>
        <w:t>§ 20</w:t>
      </w:r>
    </w:p>
    <w:p w:rsidR="0040350C" w:rsidRDefault="00236134">
      <w:pPr>
        <w:spacing w:after="60"/>
      </w:pPr>
      <w:r>
        <w:rPr>
          <w:rFonts w:ascii="Calibri" w:hAnsi="Calibri"/>
          <w:i/>
          <w:color w:val="444444"/>
        </w:rPr>
        <w:t>zrušen</w:t>
      </w:r>
    </w:p>
    <w:bookmarkEnd w:id="26"/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40350C" w:rsidRDefault="00236134">
      <w:pPr>
        <w:spacing w:after="0"/>
        <w:jc w:val="center"/>
      </w:pPr>
      <w:bookmarkStart w:id="27" w:name="pf21"/>
      <w:r>
        <w:rPr>
          <w:rFonts w:ascii="Calibri" w:hAnsi="Calibri"/>
          <w:b/>
          <w:color w:val="BA3347"/>
          <w:sz w:val="20"/>
        </w:rPr>
        <w:t>§ 21</w:t>
      </w:r>
    </w:p>
    <w:p w:rsidR="0040350C" w:rsidRDefault="00236134">
      <w:pPr>
        <w:spacing w:after="0"/>
        <w:jc w:val="center"/>
      </w:pPr>
      <w:r>
        <w:rPr>
          <w:rFonts w:ascii="Calibri" w:hAnsi="Calibri"/>
          <w:b/>
          <w:color w:val="000000"/>
        </w:rPr>
        <w:t>Zrušovací ustanovení</w:t>
      </w:r>
    </w:p>
    <w:bookmarkEnd w:id="27"/>
    <w:p w:rsidR="0040350C" w:rsidRDefault="00236134">
      <w:pPr>
        <w:spacing w:after="60"/>
        <w:jc w:val="both"/>
      </w:pPr>
      <w:r>
        <w:rPr>
          <w:rFonts w:ascii="Calibri" w:hAnsi="Calibri"/>
          <w:color w:val="444444"/>
          <w:sz w:val="20"/>
        </w:rPr>
        <w:t>Zrušují se: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1"/>
        <w:gridCol w:w="8746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zákon č. </w:t>
            </w:r>
            <w:hyperlink r:id="rId5">
              <w:r>
                <w:rPr>
                  <w:rFonts w:ascii="Calibri" w:hAnsi="Calibri"/>
                  <w:color w:val="853536"/>
                </w:rPr>
                <w:t>68/1951 Sb.</w:t>
              </w:r>
            </w:hyperlink>
            <w:r>
              <w:rPr>
                <w:rFonts w:ascii="Calibri" w:hAnsi="Calibri"/>
                <w:color w:val="444444"/>
              </w:rPr>
              <w:t>, o dobrovolných</w:t>
            </w:r>
            <w:r>
              <w:rPr>
                <w:rFonts w:ascii="Calibri" w:hAnsi="Calibri"/>
                <w:color w:val="444444"/>
              </w:rPr>
              <w:t xml:space="preserve"> organizacích a shromážděních, ve znění pozdějších předpisů, pokud jde o shromáždění;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vyhláška ministra vnitra č. </w:t>
            </w:r>
            <w:proofErr w:type="gramStart"/>
            <w:r>
              <w:rPr>
                <w:rFonts w:ascii="Calibri" w:hAnsi="Calibri"/>
                <w:color w:val="444444"/>
              </w:rPr>
              <w:t xml:space="preserve">320/1951 </w:t>
            </w:r>
            <w:proofErr w:type="spellStart"/>
            <w:r>
              <w:rPr>
                <w:rFonts w:ascii="Calibri" w:hAnsi="Calibri"/>
                <w:color w:val="444444"/>
              </w:rPr>
              <w:t>Ú.l</w:t>
            </w:r>
            <w:proofErr w:type="spellEnd"/>
            <w:r>
              <w:rPr>
                <w:rFonts w:ascii="Calibri" w:hAnsi="Calibri"/>
                <w:color w:val="444444"/>
              </w:rPr>
              <w:t>.</w:t>
            </w:r>
            <w:proofErr w:type="gramEnd"/>
            <w:r>
              <w:rPr>
                <w:rFonts w:ascii="Calibri" w:hAnsi="Calibri"/>
                <w:color w:val="444444"/>
              </w:rPr>
              <w:t xml:space="preserve"> (č. 348/1951 Ú. v.) o dobrovolných organizacích a shromážděních, ve znění pozdějších předpisů, pokud jde o shromáždění;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hyperlink r:id="rId6">
              <w:r>
                <w:rPr>
                  <w:rFonts w:ascii="Calibri" w:hAnsi="Calibri"/>
                  <w:color w:val="853536"/>
                </w:rPr>
                <w:t>§ 1</w:t>
              </w:r>
            </w:hyperlink>
            <w:r>
              <w:rPr>
                <w:rFonts w:ascii="Calibri" w:hAnsi="Calibri"/>
                <w:color w:val="444444"/>
              </w:rPr>
              <w:t xml:space="preserve"> a </w:t>
            </w:r>
            <w:hyperlink r:id="rId7">
              <w:r>
                <w:rPr>
                  <w:rFonts w:ascii="Calibri" w:hAnsi="Calibri"/>
                  <w:color w:val="853536"/>
                </w:rPr>
                <w:t>3</w:t>
              </w:r>
            </w:hyperlink>
            <w:r>
              <w:rPr>
                <w:rFonts w:ascii="Calibri" w:hAnsi="Calibri"/>
                <w:color w:val="444444"/>
              </w:rPr>
              <w:t xml:space="preserve"> zákona č. 126/1968 Sb., o některých přecho</w:t>
            </w:r>
            <w:r>
              <w:rPr>
                <w:rFonts w:ascii="Calibri" w:hAnsi="Calibri"/>
                <w:color w:val="444444"/>
              </w:rPr>
              <w:t xml:space="preserve">dných opatřeních k upevnění veřejného </w:t>
            </w:r>
            <w:r>
              <w:rPr>
                <w:rFonts w:ascii="Calibri" w:hAnsi="Calibri"/>
                <w:color w:val="444444"/>
              </w:rPr>
              <w:lastRenderedPageBreak/>
              <w:t>pořádku;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hyperlink r:id="rId8">
              <w:r>
                <w:rPr>
                  <w:rFonts w:ascii="Calibri" w:hAnsi="Calibri"/>
                  <w:color w:val="853536"/>
                </w:rPr>
                <w:t>§ 40</w:t>
              </w:r>
            </w:hyperlink>
            <w:r>
              <w:rPr>
                <w:rFonts w:ascii="Calibri" w:hAnsi="Calibri"/>
                <w:color w:val="444444"/>
              </w:rPr>
              <w:t xml:space="preserve"> zákona č. 40/1974 Sb., o Sboru národní bezpečnosti.</w:t>
            </w:r>
          </w:p>
        </w:tc>
      </w:tr>
    </w:tbl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28" w:name="document_fragment_onrf6mjzheyf6obufzygmm"/>
    </w:p>
    <w:p w:rsidR="0040350C" w:rsidRDefault="00236134">
      <w:pPr>
        <w:spacing w:after="0"/>
        <w:jc w:val="center"/>
      </w:pPr>
      <w:bookmarkStart w:id="29" w:name="pf22"/>
      <w:r>
        <w:rPr>
          <w:rFonts w:ascii="Calibri" w:hAnsi="Calibri"/>
          <w:b/>
          <w:color w:val="BA3347"/>
          <w:sz w:val="20"/>
        </w:rPr>
        <w:t>§ 22</w:t>
      </w:r>
    </w:p>
    <w:p w:rsidR="0040350C" w:rsidRDefault="00236134">
      <w:pPr>
        <w:spacing w:after="0"/>
        <w:jc w:val="center"/>
      </w:pPr>
      <w:r>
        <w:rPr>
          <w:rFonts w:ascii="Calibri" w:hAnsi="Calibri"/>
          <w:b/>
          <w:color w:val="000000"/>
        </w:rPr>
        <w:t>Účinnost</w:t>
      </w:r>
    </w:p>
    <w:bookmarkEnd w:id="29"/>
    <w:p w:rsidR="0040350C" w:rsidRDefault="00236134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Tento zákon nabývá účinnosti </w:t>
      </w:r>
      <w:r>
        <w:rPr>
          <w:rFonts w:ascii="Calibri" w:hAnsi="Calibri"/>
          <w:color w:val="444444"/>
          <w:sz w:val="20"/>
        </w:rPr>
        <w:t>dnem vyhlášení.</w:t>
      </w:r>
    </w:p>
    <w:bookmarkEnd w:id="28"/>
    <w:p w:rsidR="0040350C" w:rsidRDefault="00236134">
      <w:pPr>
        <w:spacing w:after="60"/>
        <w:jc w:val="center"/>
      </w:pPr>
      <w:r>
        <w:rPr>
          <w:rFonts w:ascii="Calibri" w:hAnsi="Calibri"/>
          <w:b/>
          <w:color w:val="444444"/>
        </w:rPr>
        <w:t>Havel</w:t>
      </w:r>
      <w:r>
        <w:rPr>
          <w:rFonts w:ascii="Calibri" w:hAnsi="Calibri"/>
          <w:color w:val="444444"/>
        </w:rPr>
        <w:t xml:space="preserve"> v. r.</w:t>
      </w:r>
    </w:p>
    <w:p w:rsidR="0040350C" w:rsidRDefault="00236134">
      <w:pPr>
        <w:spacing w:after="60"/>
        <w:jc w:val="center"/>
      </w:pPr>
      <w:r>
        <w:rPr>
          <w:rFonts w:ascii="Calibri" w:hAnsi="Calibri"/>
          <w:b/>
          <w:color w:val="444444"/>
        </w:rPr>
        <w:t>Dubček</w:t>
      </w:r>
      <w:r>
        <w:rPr>
          <w:rFonts w:ascii="Calibri" w:hAnsi="Calibri"/>
          <w:color w:val="444444"/>
        </w:rPr>
        <w:t xml:space="preserve"> v. r.</w:t>
      </w:r>
    </w:p>
    <w:p w:rsidR="0040350C" w:rsidRDefault="00236134">
      <w:pPr>
        <w:spacing w:after="60"/>
        <w:jc w:val="center"/>
      </w:pPr>
      <w:r>
        <w:rPr>
          <w:rFonts w:ascii="Calibri" w:hAnsi="Calibri"/>
          <w:b/>
          <w:color w:val="444444"/>
        </w:rPr>
        <w:t>Čalfa</w:t>
      </w:r>
      <w:r>
        <w:rPr>
          <w:rFonts w:ascii="Calibri" w:hAnsi="Calibri"/>
          <w:color w:val="444444"/>
        </w:rPr>
        <w:t xml:space="preserve"> v. r.</w:t>
      </w:r>
    </w:p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30" w:name="document_fragment_onrf6mjzheyf6obufzyhem"/>
    </w:p>
    <w:p w:rsidR="0040350C" w:rsidRDefault="00236134">
      <w:pPr>
        <w:spacing w:after="75"/>
        <w:jc w:val="right"/>
      </w:pPr>
      <w:bookmarkStart w:id="31" w:name="pr1"/>
      <w:r>
        <w:rPr>
          <w:rFonts w:ascii="Calibri" w:hAnsi="Calibri"/>
          <w:b/>
          <w:color w:val="BA3347"/>
          <w:sz w:val="20"/>
        </w:rPr>
        <w:t>Příloha</w:t>
      </w:r>
    </w:p>
    <w:p w:rsidR="0040350C" w:rsidRDefault="00236134">
      <w:pPr>
        <w:spacing w:after="0"/>
        <w:jc w:val="center"/>
      </w:pPr>
      <w:r>
        <w:rPr>
          <w:rFonts w:ascii="Calibri" w:hAnsi="Calibri"/>
          <w:b/>
          <w:color w:val="000000"/>
        </w:rPr>
        <w:t>Místa, kde jsou shromáždění zakázána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1"/>
        <w:gridCol w:w="8746"/>
      </w:tblGrid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31"/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1.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Sněmovní, Praha 1,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2.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U Zlaté studně, Praha 1,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3.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Tomášská, Praha 1,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4.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Thunovská, Praha 1,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5.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Valdštejnské náměstí, Praha 1,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6.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Valdštejnská, Praha </w:t>
            </w:r>
            <w:r>
              <w:rPr>
                <w:rFonts w:ascii="Calibri" w:hAnsi="Calibri"/>
                <w:color w:val="444444"/>
              </w:rPr>
              <w:t>1,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7.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Zámecká, Praha 1,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8.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chodník přiléhající k severní hraně Malostranského náměstí, Praha 1, mezi křižovatkami s ulicí Zámecká, Praha 1, a Tomášská, Praha 1, a</w:t>
            </w:r>
          </w:p>
        </w:tc>
      </w:tr>
      <w:tr w:rsidR="0040350C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9.</w:t>
            </w:r>
          </w:p>
        </w:tc>
        <w:tc>
          <w:tcPr>
            <w:tcW w:w="1257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Letenská, Praha 1, a to v úseku mezi Malostranským náměstím, Praha 1, a křižovatkou </w:t>
            </w:r>
            <w:r>
              <w:rPr>
                <w:rFonts w:ascii="Calibri" w:hAnsi="Calibri"/>
                <w:color w:val="444444"/>
              </w:rPr>
              <w:t>s ulicí Josefská, Praha 1.</w:t>
            </w:r>
          </w:p>
        </w:tc>
      </w:tr>
    </w:tbl>
    <w:p w:rsidR="0040350C" w:rsidRDefault="0040350C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32" w:name="document_fragment_onrf6mjzheyf6obufzyhkm"/>
      <w:bookmarkEnd w:id="30"/>
    </w:p>
    <w:p w:rsidR="0040350C" w:rsidRDefault="00236134">
      <w:pPr>
        <w:pBdr>
          <w:bottom w:val="none" w:sz="0" w:space="11" w:color="auto"/>
        </w:pBdr>
        <w:spacing w:after="0"/>
      </w:pPr>
      <w:r>
        <w:rPr>
          <w:rFonts w:ascii="Calibri" w:hAnsi="Calibri"/>
          <w:b/>
          <w:color w:val="000000"/>
        </w:rPr>
        <w:t>Přechodná ustanovení novel:</w:t>
      </w:r>
    </w:p>
    <w:tbl>
      <w:tblPr>
        <w:tblW w:w="0" w:type="auto"/>
        <w:tblCellSpacing w:w="20" w:type="dxa"/>
        <w:tblInd w:w="4993" w:type="dxa"/>
        <w:tblLook w:val="04A0" w:firstRow="1" w:lastRow="0" w:firstColumn="1" w:lastColumn="0" w:noHBand="0" w:noVBand="1"/>
      </w:tblPr>
      <w:tblGrid>
        <w:gridCol w:w="187"/>
        <w:gridCol w:w="40"/>
        <w:gridCol w:w="811"/>
        <w:gridCol w:w="1158"/>
        <w:gridCol w:w="2008"/>
      </w:tblGrid>
      <w:tr w:rsidR="0040350C">
        <w:trPr>
          <w:gridBefore w:val="2"/>
          <w:gridAfter w:val="1"/>
          <w:wAfter w:w="4934" w:type="dxa"/>
          <w:trHeight w:val="90"/>
          <w:tblCellSpacing w:w="20" w:type="dxa"/>
        </w:trPr>
        <w:tc>
          <w:tcPr>
            <w:tcW w:w="143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350C" w:rsidRDefault="0040350C">
            <w:pPr>
              <w:spacing w:after="60"/>
              <w:jc w:val="both"/>
            </w:pPr>
          </w:p>
        </w:tc>
        <w:tc>
          <w:tcPr>
            <w:tcW w:w="1488" w:type="dxa"/>
            <w:tcMar>
              <w:top w:w="45" w:type="dxa"/>
              <w:left w:w="300" w:type="dxa"/>
              <w:bottom w:w="45" w:type="dxa"/>
              <w:right w:w="45" w:type="dxa"/>
            </w:tcMar>
          </w:tcPr>
          <w:p w:rsidR="0040350C" w:rsidRDefault="00236134">
            <w:pPr>
              <w:spacing w:after="0"/>
              <w:jc w:val="right"/>
            </w:pPr>
            <w:r>
              <w:rPr>
                <w:rFonts w:ascii="Calibri" w:hAnsi="Calibri"/>
                <w:b/>
                <w:color w:val="000000"/>
                <w:sz w:val="20"/>
              </w:rPr>
              <w:t xml:space="preserve">účinné </w:t>
            </w:r>
            <w:proofErr w:type="gramStart"/>
            <w:r>
              <w:rPr>
                <w:rFonts w:ascii="Calibri" w:hAnsi="Calibri"/>
                <w:b/>
                <w:color w:val="000000"/>
                <w:sz w:val="20"/>
              </w:rPr>
              <w:t>od</w:t>
            </w:r>
            <w:proofErr w:type="gramEnd"/>
          </w:p>
        </w:tc>
      </w:tr>
      <w:tr w:rsidR="0040350C">
        <w:trPr>
          <w:gridBefore w:val="2"/>
          <w:gridAfter w:val="1"/>
          <w:wAfter w:w="4934" w:type="dxa"/>
          <w:trHeight w:val="30"/>
          <w:tblCellSpacing w:w="20" w:type="dxa"/>
        </w:trPr>
        <w:tc>
          <w:tcPr>
            <w:tcW w:w="1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0"/>
              <w:jc w:val="right"/>
            </w:pPr>
            <w:hyperlink r:id="rId9">
              <w:r>
                <w:rPr>
                  <w:rFonts w:ascii="Calibri" w:hAnsi="Calibri"/>
                  <w:color w:val="853536"/>
                  <w:sz w:val="20"/>
                </w:rPr>
                <w:t>Čl. V zákona č.</w:t>
              </w:r>
            </w:hyperlink>
          </w:p>
        </w:tc>
        <w:tc>
          <w:tcPr>
            <w:tcW w:w="1488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</w:tcPr>
          <w:p w:rsidR="0040350C" w:rsidRDefault="00236134">
            <w:pPr>
              <w:spacing w:after="0"/>
              <w:jc w:val="right"/>
            </w:pPr>
            <w:proofErr w:type="gramStart"/>
            <w:r>
              <w:rPr>
                <w:rFonts w:ascii="Calibri" w:hAnsi="Calibri"/>
                <w:color w:val="000000"/>
                <w:sz w:val="20"/>
              </w:rPr>
              <w:t>1.7.2002</w:t>
            </w:r>
            <w:proofErr w:type="gramEnd"/>
          </w:p>
        </w:tc>
      </w:tr>
      <w:bookmarkEnd w:id="32"/>
      <w:bookmarkEnd w:id="0"/>
      <w:tr w:rsidR="0040350C">
        <w:tblPrEx>
          <w:tblBorders>
            <w:top w:val="dotted" w:sz="8" w:space="0" w:color="808080"/>
          </w:tblBorders>
        </w:tblPrEx>
        <w:trPr>
          <w:trHeight w:val="90"/>
          <w:tblCellSpacing w:w="20" w:type="dxa"/>
        </w:trPr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b/>
                <w:color w:val="000000"/>
                <w:sz w:val="20"/>
              </w:rPr>
              <w:t>Poznámky pod čarou:</w:t>
            </w:r>
          </w:p>
        </w:tc>
      </w:tr>
      <w:tr w:rsidR="0040350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1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1</w:t>
            </w:r>
          </w:p>
        </w:tc>
        <w:tc>
          <w:tcPr>
            <w:tcW w:w="127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pBdr>
                <w:left w:val="none" w:sz="0" w:space="8" w:color="auto"/>
              </w:pBdr>
              <w:spacing w:after="0"/>
            </w:pPr>
            <w:bookmarkStart w:id="33" w:name="footnote_display_content_d1e1493"/>
            <w:r>
              <w:rPr>
                <w:rFonts w:ascii="Calibri" w:hAnsi="Calibri"/>
                <w:color w:val="000000"/>
                <w:sz w:val="16"/>
              </w:rPr>
              <w:t>Zákon č. </w:t>
            </w:r>
            <w:hyperlink r:id="rId10">
              <w:r>
                <w:rPr>
                  <w:rFonts w:ascii="Calibri" w:hAnsi="Calibri"/>
                  <w:color w:val="853536"/>
                  <w:sz w:val="16"/>
                </w:rPr>
                <w:t>85/1990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právu petičním</w:t>
            </w:r>
          </w:p>
        </w:tc>
        <w:bookmarkEnd w:id="33"/>
      </w:tr>
      <w:tr w:rsidR="0040350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1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2</w:t>
            </w:r>
          </w:p>
        </w:tc>
        <w:tc>
          <w:tcPr>
            <w:tcW w:w="127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pBdr>
                <w:left w:val="none" w:sz="0" w:space="8" w:color="auto"/>
              </w:pBdr>
              <w:spacing w:after="0"/>
            </w:pPr>
            <w:bookmarkStart w:id="34" w:name="footnote_display_content_d1e1008"/>
            <w:r>
              <w:rPr>
                <w:rFonts w:ascii="Calibri" w:hAnsi="Calibri"/>
                <w:color w:val="000000"/>
                <w:sz w:val="16"/>
              </w:rPr>
              <w:t>Zákon č. </w:t>
            </w:r>
            <w:hyperlink r:id="rId11">
              <w:r>
                <w:rPr>
                  <w:rFonts w:ascii="Calibri" w:hAnsi="Calibri"/>
                  <w:color w:val="853536"/>
                  <w:sz w:val="16"/>
                </w:rPr>
                <w:t>3/2002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 xml:space="preserve">, o svobodě </w:t>
            </w:r>
            <w:r>
              <w:rPr>
                <w:rFonts w:ascii="Calibri" w:hAnsi="Calibri"/>
                <w:color w:val="000000"/>
                <w:sz w:val="16"/>
              </w:rPr>
              <w:t>náboženského vyznání a postavení církví a náboženských společností a o změně některých zákonů (</w:t>
            </w:r>
            <w:hyperlink r:id="rId12">
              <w:r>
                <w:rPr>
                  <w:rFonts w:ascii="Calibri" w:hAnsi="Calibri"/>
                  <w:color w:val="853536"/>
                  <w:sz w:val="16"/>
                </w:rPr>
                <w:t>zákon o církvích a náboženských společnostech</w:t>
              </w:r>
            </w:hyperlink>
            <w:r>
              <w:rPr>
                <w:rFonts w:ascii="Calibri" w:hAnsi="Calibri"/>
                <w:color w:val="000000"/>
                <w:sz w:val="16"/>
              </w:rPr>
              <w:t>).</w:t>
            </w:r>
          </w:p>
        </w:tc>
        <w:bookmarkEnd w:id="34"/>
      </w:tr>
      <w:tr w:rsidR="0040350C">
        <w:tblPrEx>
          <w:tblBorders>
            <w:top w:val="dotted" w:sz="8" w:space="0" w:color="808080"/>
          </w:tblBorders>
        </w:tblPrEx>
        <w:trPr>
          <w:trHeight w:val="30"/>
          <w:tblCellSpacing w:w="20" w:type="dxa"/>
        </w:trPr>
        <w:tc>
          <w:tcPr>
            <w:tcW w:w="1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3</w:t>
            </w:r>
          </w:p>
        </w:tc>
        <w:tc>
          <w:tcPr>
            <w:tcW w:w="127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0350C" w:rsidRDefault="00236134">
            <w:pPr>
              <w:pBdr>
                <w:left w:val="none" w:sz="0" w:space="8" w:color="auto"/>
              </w:pBdr>
              <w:spacing w:after="0"/>
            </w:pPr>
            <w:bookmarkStart w:id="35" w:name="footnote_display_content_d1e3807"/>
            <w:r>
              <w:rPr>
                <w:rFonts w:ascii="Calibri" w:hAnsi="Calibri"/>
                <w:color w:val="000000"/>
                <w:sz w:val="16"/>
              </w:rPr>
              <w:t>Hlava III zákona</w:t>
            </w:r>
            <w:r>
              <w:rPr>
                <w:rFonts w:ascii="Calibri" w:hAnsi="Calibri"/>
                <w:color w:val="000000"/>
                <w:sz w:val="16"/>
              </w:rPr>
              <w:t xml:space="preserve"> č. </w:t>
            </w:r>
            <w:hyperlink r:id="rId13">
              <w:r>
                <w:rPr>
                  <w:rFonts w:ascii="Calibri" w:hAnsi="Calibri"/>
                  <w:color w:val="853536"/>
                  <w:sz w:val="16"/>
                </w:rPr>
                <w:t>258/2000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ochraně veřejného zdraví a o změně některých souvisejících zákonů, ve znění pozdějších předpisů.</w:t>
            </w:r>
          </w:p>
        </w:tc>
        <w:bookmarkEnd w:id="35"/>
      </w:tr>
    </w:tbl>
    <w:p w:rsidR="00000000" w:rsidRDefault="00236134"/>
    <w:sectPr w:rsidR="00000000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0C"/>
    <w:rsid w:val="00236134"/>
    <w:rsid w:val="0040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-online.cz/bo/document-view.seam?documentId=onrf6mjzg42f6nbqfzygmnbq" TargetMode="External"/><Relationship Id="rId13" Type="http://schemas.openxmlformats.org/officeDocument/2006/relationships/hyperlink" Target="http://www.beck-online.cz/bo/document-view.seam?documentId=onrf6mrqgayf6mrvh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ck-online.cz/bo/document-view.seam?documentId=onrf6mjzgy4f6mjsgyxhazrt" TargetMode="External"/><Relationship Id="rId12" Type="http://schemas.openxmlformats.org/officeDocument/2006/relationships/hyperlink" Target="http://www.beck-online.cz/bo/document-view.seam?documentId=onrf6mrqgazf6m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ck-online.cz/bo/document-view.seam?documentId=onrf6mjzgy4f6mjsgyxhazrr" TargetMode="External"/><Relationship Id="rId11" Type="http://schemas.openxmlformats.org/officeDocument/2006/relationships/hyperlink" Target="http://www.beck-online.cz/bo/document-view.seam?documentId=onrf6mrqgazf6my" TargetMode="External"/><Relationship Id="rId5" Type="http://schemas.openxmlformats.org/officeDocument/2006/relationships/hyperlink" Target="http://www.beck-online.cz/bo/document-view.seam?documentId=onrf6mjzguyv6nr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eck-online.cz/bo/document-view.seam?documentId=onrf6mjzheyf6ob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ck-online.cz/bo/document-view.seam?documentId=onrf6mrqgazf6mrvhexgg3b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2952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Lstibůrková</dc:creator>
  <cp:lastModifiedBy>Veronika Lstibůrková</cp:lastModifiedBy>
  <cp:revision>2</cp:revision>
  <dcterms:created xsi:type="dcterms:W3CDTF">2018-10-29T13:03:00Z</dcterms:created>
  <dcterms:modified xsi:type="dcterms:W3CDTF">2018-10-29T13:03:00Z</dcterms:modified>
</cp:coreProperties>
</file>