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DF6" w:rsidRPr="003347DE" w:rsidRDefault="00E73EB2" w:rsidP="00377DF6">
      <w:pPr>
        <w:jc w:val="left"/>
        <w:rPr>
          <w:sz w:val="48"/>
        </w:rPr>
      </w:pPr>
      <w:r w:rsidRPr="00E73EB2">
        <w:rPr>
          <w:sz w:val="48"/>
        </w:rPr>
        <w:drawing>
          <wp:inline distT="0" distB="0" distL="0" distR="0" wp14:anchorId="64434E92" wp14:editId="052A1980">
            <wp:extent cx="5760720" cy="1185094"/>
            <wp:effectExtent l="0" t="0" r="0" b="0"/>
            <wp:docPr id="1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185094"/>
                    </a:xfrm>
                    <a:prstGeom prst="rect">
                      <a:avLst/>
                    </a:prstGeom>
                  </pic:spPr>
                </pic:pic>
              </a:graphicData>
            </a:graphic>
          </wp:inline>
        </w:drawing>
      </w:r>
    </w:p>
    <w:p w:rsidR="00377DF6" w:rsidRPr="003347DE" w:rsidRDefault="00377DF6" w:rsidP="00377DF6">
      <w:pPr>
        <w:jc w:val="left"/>
        <w:rPr>
          <w:sz w:val="48"/>
        </w:rPr>
      </w:pPr>
    </w:p>
    <w:p w:rsidR="00C16F72" w:rsidRPr="003347DE" w:rsidRDefault="00C16F72" w:rsidP="00377DF6">
      <w:pPr>
        <w:jc w:val="left"/>
        <w:rPr>
          <w:sz w:val="48"/>
        </w:rPr>
      </w:pPr>
    </w:p>
    <w:p w:rsidR="00767D3B" w:rsidRPr="00667460" w:rsidRDefault="00767D3B" w:rsidP="00767D3B">
      <w:pPr>
        <w:rPr>
          <w:sz w:val="20"/>
          <w:szCs w:val="20"/>
        </w:rPr>
      </w:pPr>
    </w:p>
    <w:p w:rsidR="00767D3B" w:rsidRDefault="00767D3B" w:rsidP="00767D3B">
      <w:pPr>
        <w:spacing w:after="200"/>
        <w:rPr>
          <w:rFonts w:ascii="Cambria" w:hAnsi="Cambria"/>
          <w:b/>
          <w:sz w:val="28"/>
          <w:szCs w:val="28"/>
        </w:rPr>
      </w:pPr>
      <w:r w:rsidRPr="00464232">
        <w:rPr>
          <w:noProof/>
        </w:rPr>
        <w:drawing>
          <wp:anchor distT="0" distB="0" distL="114300" distR="114300" simplePos="0" relativeHeight="251660288" behindDoc="1" locked="0" layoutInCell="1" allowOverlap="1">
            <wp:simplePos x="0" y="0"/>
            <wp:positionH relativeFrom="column">
              <wp:posOffset>266065</wp:posOffset>
            </wp:positionH>
            <wp:positionV relativeFrom="paragraph">
              <wp:posOffset>-635</wp:posOffset>
            </wp:positionV>
            <wp:extent cx="1783080" cy="1743075"/>
            <wp:effectExtent l="0" t="0" r="7620" b="9525"/>
            <wp:wrapNone/>
            <wp:docPr id="2" name="obrázek 12" descr="\\192.168.1.250\Firma\!___AQEacademy___!\AQE_Logotypy\AQE_Logotypy\AQE_advisors\JPG_300dpi\AQE-advisors_Logo-01_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250\Firma\!___AQEacademy___!\AQE_Logotypy\AQE_Logotypy\AQE_advisors\JPG_300dpi\AQE-advisors_Logo-01_Positive.jpg"/>
                    <pic:cNvPicPr>
                      <a:picLocks noChangeAspect="1" noChangeArrowheads="1"/>
                    </pic:cNvPicPr>
                  </pic:nvPicPr>
                  <pic:blipFill>
                    <a:blip r:embed="rId10" cstate="print">
                      <a:extLst>
                        <a:ext uri="{28A0092B-C50C-407E-A947-70E740481C1C}">
                          <a14:useLocalDpi xmlns:a14="http://schemas.microsoft.com/office/drawing/2010/main" val="0"/>
                        </a:ext>
                      </a:extLst>
                    </a:blip>
                    <a:srcRect l="12691" t="13513" r="13396" b="14101"/>
                    <a:stretch>
                      <a:fillRect/>
                    </a:stretch>
                  </pic:blipFill>
                  <pic:spPr bwMode="auto">
                    <a:xfrm>
                      <a:off x="0" y="0"/>
                      <a:ext cx="1783080" cy="1743075"/>
                    </a:xfrm>
                    <a:prstGeom prst="rect">
                      <a:avLst/>
                    </a:prstGeom>
                    <a:noFill/>
                    <a:ln>
                      <a:noFill/>
                    </a:ln>
                  </pic:spPr>
                </pic:pic>
              </a:graphicData>
            </a:graphic>
          </wp:anchor>
        </w:drawing>
      </w:r>
      <w:r w:rsidRPr="00464232">
        <w:rPr>
          <w:noProof/>
        </w:rPr>
        <w:drawing>
          <wp:anchor distT="0" distB="0" distL="114300" distR="114300" simplePos="0" relativeHeight="251661312" behindDoc="1" locked="0" layoutInCell="1" allowOverlap="1">
            <wp:simplePos x="0" y="0"/>
            <wp:positionH relativeFrom="column">
              <wp:posOffset>3725545</wp:posOffset>
            </wp:positionH>
            <wp:positionV relativeFrom="paragraph">
              <wp:posOffset>-635</wp:posOffset>
            </wp:positionV>
            <wp:extent cx="1767890" cy="1756410"/>
            <wp:effectExtent l="0" t="0" r="3810" b="0"/>
            <wp:wrapNone/>
            <wp:docPr id="3" name="obrázek 13" descr="\\192.168.1.250\Firma\!___AQEacademy___!\AQE_Logotypy\AQE_Logotypy\AQE_academy\JPG_300dpi\AQE-academy_Logo-01-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250\Firma\!___AQEacademy___!\AQE_Logotypy\AQE_Logotypy\AQE_academy\JPG_300dpi\AQE-academy_Logo-01-positive.jpg"/>
                    <pic:cNvPicPr>
                      <a:picLocks noChangeAspect="1" noChangeArrowheads="1"/>
                    </pic:cNvPicPr>
                  </pic:nvPicPr>
                  <pic:blipFill>
                    <a:blip r:embed="rId11" cstate="print">
                      <a:extLst>
                        <a:ext uri="{28A0092B-C50C-407E-A947-70E740481C1C}">
                          <a14:useLocalDpi xmlns:a14="http://schemas.microsoft.com/office/drawing/2010/main" val="0"/>
                        </a:ext>
                      </a:extLst>
                    </a:blip>
                    <a:srcRect l="13513" t="13278" r="12691" b="13396"/>
                    <a:stretch>
                      <a:fillRect/>
                    </a:stretch>
                  </pic:blipFill>
                  <pic:spPr bwMode="auto">
                    <a:xfrm>
                      <a:off x="0" y="0"/>
                      <a:ext cx="1767890" cy="1756410"/>
                    </a:xfrm>
                    <a:prstGeom prst="rect">
                      <a:avLst/>
                    </a:prstGeom>
                    <a:noFill/>
                    <a:ln>
                      <a:noFill/>
                    </a:ln>
                  </pic:spPr>
                </pic:pic>
              </a:graphicData>
            </a:graphic>
          </wp:anchor>
        </w:drawing>
      </w:r>
      <w:r w:rsidRPr="003F67FB">
        <w:rPr>
          <w:rFonts w:ascii="Times New Roman" w:hAnsi="Times New Roman"/>
          <w:noProof/>
          <w:sz w:val="22"/>
        </w:rPr>
        <w:drawing>
          <wp:anchor distT="0" distB="0" distL="114300" distR="114300" simplePos="0" relativeHeight="251659264" behindDoc="1" locked="0" layoutInCell="1" allowOverlap="1">
            <wp:simplePos x="0" y="0"/>
            <wp:positionH relativeFrom="margin">
              <wp:align>center</wp:align>
            </wp:positionH>
            <wp:positionV relativeFrom="paragraph">
              <wp:posOffset>90805</wp:posOffset>
            </wp:positionV>
            <wp:extent cx="1577340" cy="1577340"/>
            <wp:effectExtent l="0" t="0" r="3810" b="3810"/>
            <wp:wrapNone/>
            <wp:docPr id="28" name="Pictur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9FF58FB7-6535-3E4A-BD13-74352740F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9FF58FB7-6535-3E4A-BD13-74352740F4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anchor>
        </w:drawing>
      </w:r>
    </w:p>
    <w:p w:rsidR="00767D3B" w:rsidRDefault="00767D3B" w:rsidP="00767D3B">
      <w:pPr>
        <w:pStyle w:val="Titulek"/>
        <w:spacing w:line="276" w:lineRule="auto"/>
        <w:rPr>
          <w:rFonts w:ascii="Cambria" w:hAnsi="Cambria"/>
          <w:b w:val="0"/>
          <w:sz w:val="28"/>
          <w:szCs w:val="28"/>
        </w:rPr>
      </w:pPr>
    </w:p>
    <w:p w:rsidR="00377DF6" w:rsidRPr="003347DE" w:rsidRDefault="00377DF6" w:rsidP="00377DF6">
      <w:pPr>
        <w:jc w:val="left"/>
        <w:rPr>
          <w:sz w:val="48"/>
        </w:rPr>
      </w:pPr>
    </w:p>
    <w:p w:rsidR="00C16F72" w:rsidRPr="003347DE" w:rsidRDefault="00C16F72" w:rsidP="00377DF6">
      <w:pPr>
        <w:jc w:val="left"/>
        <w:rPr>
          <w:sz w:val="48"/>
        </w:rPr>
      </w:pPr>
    </w:p>
    <w:p w:rsidR="00377DF6" w:rsidRPr="003347DE" w:rsidRDefault="00377DF6" w:rsidP="00377DF6">
      <w:pPr>
        <w:jc w:val="left"/>
        <w:rPr>
          <w:sz w:val="48"/>
        </w:rPr>
      </w:pPr>
    </w:p>
    <w:p w:rsidR="00377DF6" w:rsidRPr="003347DE" w:rsidRDefault="00377DF6" w:rsidP="00377DF6">
      <w:pPr>
        <w:jc w:val="left"/>
        <w:rPr>
          <w:sz w:val="48"/>
        </w:rPr>
      </w:pPr>
    </w:p>
    <w:p w:rsidR="00C16F72" w:rsidRDefault="00C16F72" w:rsidP="00377DF6">
      <w:pPr>
        <w:jc w:val="left"/>
        <w:rPr>
          <w:b/>
          <w:sz w:val="48"/>
          <w:szCs w:val="48"/>
        </w:rPr>
      </w:pPr>
    </w:p>
    <w:p w:rsidR="00767D3B" w:rsidRDefault="00767D3B" w:rsidP="00377DF6">
      <w:pPr>
        <w:jc w:val="left"/>
        <w:rPr>
          <w:b/>
          <w:sz w:val="48"/>
          <w:szCs w:val="48"/>
        </w:rPr>
      </w:pPr>
    </w:p>
    <w:p w:rsidR="009B15E8" w:rsidRPr="00767D3B" w:rsidRDefault="00961DB1" w:rsidP="00767D3B">
      <w:pPr>
        <w:jc w:val="center"/>
        <w:rPr>
          <w:b/>
          <w:sz w:val="44"/>
          <w:szCs w:val="48"/>
        </w:rPr>
      </w:pPr>
      <w:r w:rsidRPr="00961DB1">
        <w:rPr>
          <w:b/>
          <w:sz w:val="44"/>
          <w:szCs w:val="48"/>
        </w:rPr>
        <w:t>Studie optimalizace využití nemovitého majetku města Slavkov</w:t>
      </w:r>
    </w:p>
    <w:p w:rsidR="00767D3B" w:rsidRDefault="00767D3B">
      <w:pPr>
        <w:spacing w:line="240" w:lineRule="auto"/>
        <w:jc w:val="left"/>
      </w:pPr>
      <w:bookmarkStart w:id="0" w:name="_Toc293487264"/>
      <w:bookmarkStart w:id="1" w:name="_Toc293603467"/>
      <w:bookmarkStart w:id="2" w:name="_Toc293671765"/>
      <w:bookmarkStart w:id="3" w:name="_Toc293672244"/>
      <w:bookmarkStart w:id="4" w:name="_Toc293672333"/>
      <w:bookmarkStart w:id="5" w:name="_Toc355270491"/>
      <w:bookmarkStart w:id="6" w:name="_Toc355270550"/>
      <w:bookmarkStart w:id="7" w:name="_Toc355270665"/>
      <w:bookmarkStart w:id="8" w:name="_Toc355271387"/>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Pr="004769A6" w:rsidRDefault="00767D3B" w:rsidP="004769A6">
      <w:pPr>
        <w:rPr>
          <w:sz w:val="20"/>
          <w:szCs w:val="20"/>
        </w:rPr>
      </w:pPr>
      <w:r w:rsidRPr="004769A6">
        <w:rPr>
          <w:sz w:val="20"/>
          <w:szCs w:val="20"/>
        </w:rPr>
        <w:t>Za realizační tým: | AQE advisors, a.s.</w:t>
      </w:r>
    </w:p>
    <w:p w:rsidR="00767D3B" w:rsidRDefault="00767D3B" w:rsidP="00E73EB2">
      <w:pPr>
        <w:jc w:val="left"/>
        <w:rPr>
          <w:sz w:val="20"/>
          <w:szCs w:val="20"/>
        </w:rPr>
      </w:pPr>
      <w:r w:rsidRPr="002A76A3">
        <w:rPr>
          <w:sz w:val="20"/>
          <w:szCs w:val="20"/>
        </w:rPr>
        <w:t xml:space="preserve">Datum: </w:t>
      </w:r>
      <w:r w:rsidR="00D05E98">
        <w:rPr>
          <w:sz w:val="20"/>
          <w:szCs w:val="20"/>
        </w:rPr>
        <w:t>listopad 2019</w:t>
      </w:r>
    </w:p>
    <w:p w:rsidR="00E73EB2" w:rsidRDefault="00E73EB2" w:rsidP="00E73EB2">
      <w:pPr>
        <w:jc w:val="left"/>
        <w:rPr>
          <w:sz w:val="20"/>
          <w:szCs w:val="20"/>
        </w:rPr>
      </w:pPr>
    </w:p>
    <w:p w:rsidR="00E73EB2" w:rsidRPr="00E73EB2" w:rsidRDefault="00E73EB2" w:rsidP="00E73EB2">
      <w:pPr>
        <w:jc w:val="left"/>
        <w:rPr>
          <w:sz w:val="20"/>
          <w:szCs w:val="20"/>
        </w:rPr>
      </w:pPr>
      <w:r w:rsidRPr="00E73EB2">
        <w:rPr>
          <w:sz w:val="20"/>
          <w:szCs w:val="20"/>
        </w:rPr>
        <w:t xml:space="preserve">Rozvoj </w:t>
      </w:r>
      <w:proofErr w:type="spellStart"/>
      <w:r w:rsidRPr="00E73EB2">
        <w:rPr>
          <w:sz w:val="20"/>
          <w:szCs w:val="20"/>
        </w:rPr>
        <w:t>nástrojů</w:t>
      </w:r>
      <w:proofErr w:type="spellEnd"/>
      <w:r w:rsidRPr="00E73EB2">
        <w:rPr>
          <w:sz w:val="20"/>
          <w:szCs w:val="20"/>
        </w:rPr>
        <w:t xml:space="preserve"> </w:t>
      </w:r>
      <w:proofErr w:type="spellStart"/>
      <w:r w:rsidRPr="00E73EB2">
        <w:rPr>
          <w:sz w:val="20"/>
          <w:szCs w:val="20"/>
        </w:rPr>
        <w:t>strategického</w:t>
      </w:r>
      <w:proofErr w:type="spellEnd"/>
      <w:r w:rsidRPr="00E73EB2">
        <w:rPr>
          <w:sz w:val="20"/>
          <w:szCs w:val="20"/>
        </w:rPr>
        <w:t xml:space="preserve"> řízení, komunikace s veřejností a vzdělávání úředníků a zastupitelů v podmínkách města Slavkova u Brna“, </w:t>
      </w:r>
      <w:proofErr w:type="spellStart"/>
      <w:r w:rsidRPr="00E73EB2">
        <w:rPr>
          <w:sz w:val="20"/>
          <w:szCs w:val="20"/>
        </w:rPr>
        <w:t>reg</w:t>
      </w:r>
      <w:proofErr w:type="spellEnd"/>
      <w:r w:rsidRPr="00E73EB2">
        <w:rPr>
          <w:sz w:val="20"/>
          <w:szCs w:val="20"/>
        </w:rPr>
        <w:t xml:space="preserve">  č.  CZ.03.4.74/0.0/0</w:t>
      </w:r>
      <w:bookmarkStart w:id="9" w:name="_GoBack"/>
      <w:bookmarkEnd w:id="9"/>
      <w:r w:rsidRPr="00E73EB2">
        <w:rPr>
          <w:sz w:val="20"/>
          <w:szCs w:val="20"/>
        </w:rPr>
        <w:t>.0/17_080/0009987</w:t>
      </w:r>
    </w:p>
    <w:p w:rsidR="00E73EB2" w:rsidRPr="002A76A3" w:rsidRDefault="00E73EB2" w:rsidP="00767D3B">
      <w:pPr>
        <w:rPr>
          <w:sz w:val="20"/>
          <w:szCs w:val="20"/>
        </w:rPr>
      </w:pPr>
    </w:p>
    <w:p w:rsidR="009C797F" w:rsidRPr="00767D3B" w:rsidRDefault="009C797F">
      <w:pPr>
        <w:spacing w:line="240" w:lineRule="auto"/>
        <w:jc w:val="left"/>
        <w:rPr>
          <w:sz w:val="20"/>
          <w:szCs w:val="20"/>
        </w:rPr>
      </w:pPr>
      <w:r w:rsidRPr="003347DE">
        <w:br w:type="page"/>
      </w:r>
    </w:p>
    <w:p w:rsidR="009C797F" w:rsidRPr="003347DE" w:rsidRDefault="00803120" w:rsidP="009C797F">
      <w:pPr>
        <w:rPr>
          <w:b/>
          <w:sz w:val="36"/>
          <w:szCs w:val="36"/>
        </w:rPr>
      </w:pPr>
      <w:r w:rsidRPr="003347DE">
        <w:rPr>
          <w:b/>
          <w:sz w:val="36"/>
          <w:szCs w:val="36"/>
        </w:rPr>
        <w:lastRenderedPageBreak/>
        <w:t>Obsah</w:t>
      </w:r>
      <w:bookmarkEnd w:id="0"/>
      <w:bookmarkEnd w:id="1"/>
      <w:bookmarkEnd w:id="2"/>
      <w:bookmarkEnd w:id="3"/>
      <w:bookmarkEnd w:id="4"/>
      <w:bookmarkEnd w:id="5"/>
      <w:bookmarkEnd w:id="6"/>
      <w:bookmarkEnd w:id="7"/>
      <w:bookmarkEnd w:id="8"/>
    </w:p>
    <w:p w:rsidR="009C797F" w:rsidRPr="003347DE" w:rsidRDefault="009C797F" w:rsidP="009C797F">
      <w:pPr>
        <w:rPr>
          <w:b/>
          <w:sz w:val="36"/>
          <w:szCs w:val="36"/>
        </w:rPr>
      </w:pPr>
    </w:p>
    <w:p w:rsidR="00484079" w:rsidRPr="00484079" w:rsidRDefault="00BA5D2D">
      <w:pPr>
        <w:pStyle w:val="Obsah1"/>
        <w:tabs>
          <w:tab w:val="left" w:pos="660"/>
          <w:tab w:val="right" w:leader="dot" w:pos="9062"/>
        </w:tabs>
        <w:rPr>
          <w:rFonts w:eastAsiaTheme="minorEastAsia" w:cstheme="minorBidi"/>
          <w:noProof/>
          <w:sz w:val="18"/>
          <w:szCs w:val="18"/>
        </w:rPr>
      </w:pPr>
      <w:r w:rsidRPr="00484079">
        <w:rPr>
          <w:sz w:val="18"/>
          <w:szCs w:val="18"/>
        </w:rPr>
        <w:fldChar w:fldCharType="begin"/>
      </w:r>
      <w:r w:rsidR="00297A5B" w:rsidRPr="00484079">
        <w:rPr>
          <w:sz w:val="18"/>
          <w:szCs w:val="18"/>
        </w:rPr>
        <w:instrText xml:space="preserve"> TOC \o "1-2" \h \z \u </w:instrText>
      </w:r>
      <w:r w:rsidRPr="00484079">
        <w:rPr>
          <w:sz w:val="18"/>
          <w:szCs w:val="18"/>
        </w:rPr>
        <w:fldChar w:fldCharType="separate"/>
      </w:r>
      <w:hyperlink w:anchor="_Toc34910879" w:history="1">
        <w:r w:rsidR="00484079" w:rsidRPr="00484079">
          <w:rPr>
            <w:rStyle w:val="Hypertextovodkaz"/>
            <w:noProof/>
            <w:sz w:val="18"/>
            <w:szCs w:val="18"/>
          </w:rPr>
          <w:t>1.</w:t>
        </w:r>
        <w:r w:rsidR="00484079" w:rsidRPr="00484079">
          <w:rPr>
            <w:rFonts w:eastAsiaTheme="minorEastAsia" w:cstheme="minorBidi"/>
            <w:noProof/>
            <w:sz w:val="18"/>
            <w:szCs w:val="18"/>
          </w:rPr>
          <w:tab/>
        </w:r>
        <w:r w:rsidR="00484079" w:rsidRPr="00484079">
          <w:rPr>
            <w:rStyle w:val="Hypertextovodkaz"/>
            <w:noProof/>
            <w:sz w:val="18"/>
            <w:szCs w:val="18"/>
          </w:rPr>
          <w:t>Úvod a shrnutí</w:t>
        </w:r>
        <w:r w:rsidR="00484079" w:rsidRPr="00484079">
          <w:rPr>
            <w:noProof/>
            <w:webHidden/>
            <w:sz w:val="18"/>
            <w:szCs w:val="18"/>
          </w:rPr>
          <w:tab/>
        </w:r>
        <w:r w:rsidRPr="00484079">
          <w:rPr>
            <w:noProof/>
            <w:webHidden/>
            <w:sz w:val="18"/>
            <w:szCs w:val="18"/>
          </w:rPr>
          <w:fldChar w:fldCharType="begin"/>
        </w:r>
        <w:r w:rsidR="00484079" w:rsidRPr="00484079">
          <w:rPr>
            <w:noProof/>
            <w:webHidden/>
            <w:sz w:val="18"/>
            <w:szCs w:val="18"/>
          </w:rPr>
          <w:instrText xml:space="preserve"> PAGEREF _Toc34910879 \h </w:instrText>
        </w:r>
        <w:r w:rsidRPr="00484079">
          <w:rPr>
            <w:noProof/>
            <w:webHidden/>
            <w:sz w:val="18"/>
            <w:szCs w:val="18"/>
          </w:rPr>
        </w:r>
        <w:r w:rsidRPr="00484079">
          <w:rPr>
            <w:noProof/>
            <w:webHidden/>
            <w:sz w:val="18"/>
            <w:szCs w:val="18"/>
          </w:rPr>
          <w:fldChar w:fldCharType="separate"/>
        </w:r>
        <w:r w:rsidR="00484079" w:rsidRPr="00484079">
          <w:rPr>
            <w:noProof/>
            <w:webHidden/>
            <w:sz w:val="18"/>
            <w:szCs w:val="18"/>
          </w:rPr>
          <w:t>3</w:t>
        </w:r>
        <w:r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880" w:history="1">
        <w:r w:rsidR="00484079" w:rsidRPr="00484079">
          <w:rPr>
            <w:rStyle w:val="Hypertextovodkaz"/>
            <w:noProof/>
            <w:sz w:val="18"/>
            <w:szCs w:val="18"/>
          </w:rPr>
          <w:t>2.</w:t>
        </w:r>
        <w:r w:rsidR="00484079" w:rsidRPr="00484079">
          <w:rPr>
            <w:rFonts w:eastAsiaTheme="minorEastAsia" w:cstheme="minorBidi"/>
            <w:noProof/>
            <w:sz w:val="18"/>
            <w:szCs w:val="18"/>
          </w:rPr>
          <w:tab/>
        </w:r>
        <w:r w:rsidR="00484079" w:rsidRPr="00484079">
          <w:rPr>
            <w:rStyle w:val="Hypertextovodkaz"/>
            <w:noProof/>
            <w:sz w:val="18"/>
            <w:szCs w:val="18"/>
          </w:rPr>
          <w:t>Základní členění majetku podle druhu vlastněných věcí (dle zákona o účetnictví)</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_Toc34910880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6</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881" w:history="1">
        <w:r w:rsidR="00484079" w:rsidRPr="00484079">
          <w:rPr>
            <w:rStyle w:val="Hypertextovodkaz"/>
            <w:noProof/>
            <w:sz w:val="18"/>
            <w:szCs w:val="18"/>
          </w:rPr>
          <w:t>3.</w:t>
        </w:r>
        <w:r w:rsidR="00484079" w:rsidRPr="00484079">
          <w:rPr>
            <w:rFonts w:eastAsiaTheme="minorEastAsia" w:cstheme="minorBidi"/>
            <w:noProof/>
            <w:sz w:val="18"/>
            <w:szCs w:val="18"/>
          </w:rPr>
          <w:tab/>
        </w:r>
        <w:r w:rsidR="00484079" w:rsidRPr="00484079">
          <w:rPr>
            <w:rStyle w:val="Hypertextovodkaz"/>
            <w:noProof/>
            <w:sz w:val="18"/>
            <w:szCs w:val="18"/>
          </w:rPr>
          <w:t>Hospodaření s majetkem obce</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_Toc34910881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7</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82" w:history="1">
        <w:r w:rsidR="00484079" w:rsidRPr="00484079">
          <w:rPr>
            <w:rStyle w:val="Hypertextovodkaz"/>
            <w:sz w:val="18"/>
            <w:szCs w:val="18"/>
          </w:rPr>
          <w:t>3.1</w:t>
        </w:r>
        <w:r w:rsidR="00484079" w:rsidRPr="00484079">
          <w:rPr>
            <w:rStyle w:val="Hypertextovodkaz"/>
            <w:sz w:val="18"/>
            <w:szCs w:val="18"/>
          </w:rPr>
          <w:tab/>
          <w:t>Obecné zásady hospodaření s obecním majetkem</w:t>
        </w:r>
        <w:r w:rsidR="00484079" w:rsidRPr="00484079">
          <w:rPr>
            <w:rStyle w:val="Hypertextovodkaz"/>
            <w:webHidden/>
            <w:sz w:val="18"/>
            <w:szCs w:val="18"/>
          </w:rPr>
          <w:tab/>
        </w:r>
        <w:r w:rsidR="00BA5D2D" w:rsidRPr="00484079">
          <w:rPr>
            <w:rStyle w:val="Hypertextovodkaz"/>
            <w:webHidden/>
            <w:sz w:val="18"/>
            <w:szCs w:val="18"/>
          </w:rPr>
          <w:fldChar w:fldCharType="begin"/>
        </w:r>
        <w:r w:rsidR="00484079" w:rsidRPr="00484079">
          <w:rPr>
            <w:rStyle w:val="Hypertextovodkaz"/>
            <w:webHidden/>
            <w:sz w:val="18"/>
            <w:szCs w:val="18"/>
          </w:rPr>
          <w:instrText xml:space="preserve"> PAGEREF _Toc34910882 \h </w:instrText>
        </w:r>
        <w:r w:rsidR="00BA5D2D" w:rsidRPr="00484079">
          <w:rPr>
            <w:rStyle w:val="Hypertextovodkaz"/>
            <w:webHidden/>
            <w:sz w:val="18"/>
            <w:szCs w:val="18"/>
          </w:rPr>
        </w:r>
        <w:r w:rsidR="00BA5D2D" w:rsidRPr="00484079">
          <w:rPr>
            <w:rStyle w:val="Hypertextovodkaz"/>
            <w:webHidden/>
            <w:sz w:val="18"/>
            <w:szCs w:val="18"/>
          </w:rPr>
          <w:fldChar w:fldCharType="separate"/>
        </w:r>
        <w:r w:rsidR="00484079" w:rsidRPr="00484079">
          <w:rPr>
            <w:rStyle w:val="Hypertextovodkaz"/>
            <w:webHidden/>
            <w:sz w:val="18"/>
            <w:szCs w:val="18"/>
          </w:rPr>
          <w:t>7</w:t>
        </w:r>
        <w:r w:rsidR="00BA5D2D" w:rsidRPr="00484079">
          <w:rPr>
            <w:rStyle w:val="Hypertextovodkaz"/>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83" w:history="1">
        <w:r w:rsidR="00484079" w:rsidRPr="00484079">
          <w:rPr>
            <w:rStyle w:val="Hypertextovodkaz"/>
            <w:noProof/>
            <w:sz w:val="18"/>
            <w:szCs w:val="18"/>
          </w:rPr>
          <w:t>3.2</w:t>
        </w:r>
        <w:r w:rsidR="00484079" w:rsidRPr="00484079">
          <w:rPr>
            <w:rFonts w:eastAsiaTheme="minorEastAsia" w:cstheme="minorBidi"/>
            <w:noProof/>
            <w:sz w:val="18"/>
            <w:szCs w:val="18"/>
          </w:rPr>
          <w:tab/>
          <w:t>K</w:t>
        </w:r>
        <w:r w:rsidR="00484079" w:rsidRPr="00484079">
          <w:rPr>
            <w:rStyle w:val="Hypertextovodkaz"/>
            <w:noProof/>
            <w:sz w:val="18"/>
            <w:szCs w:val="18"/>
          </w:rPr>
          <w:t>ategorizace nemovitostí</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_Toc34910883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9</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84" w:history="1">
        <w:r w:rsidR="00484079" w:rsidRPr="00484079">
          <w:rPr>
            <w:rStyle w:val="Hypertextovodkaz"/>
            <w:noProof/>
            <w:sz w:val="18"/>
            <w:szCs w:val="18"/>
          </w:rPr>
          <w:t>3.3</w:t>
        </w:r>
        <w:r w:rsidR="00484079" w:rsidRPr="00484079">
          <w:rPr>
            <w:rFonts w:eastAsiaTheme="minorEastAsia" w:cstheme="minorBidi"/>
            <w:noProof/>
            <w:sz w:val="18"/>
            <w:szCs w:val="18"/>
          </w:rPr>
          <w:tab/>
        </w:r>
        <w:r w:rsidR="00484079" w:rsidRPr="00484079">
          <w:rPr>
            <w:rStyle w:val="Hypertextovodkaz"/>
            <w:noProof/>
            <w:sz w:val="18"/>
            <w:szCs w:val="18"/>
          </w:rPr>
          <w:t>Převod a pronájem nemovitostí</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_Toc34910884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9</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85" w:history="1">
        <w:r w:rsidR="00484079" w:rsidRPr="00484079">
          <w:rPr>
            <w:rStyle w:val="Hypertextovodkaz"/>
            <w:noProof/>
            <w:sz w:val="18"/>
            <w:szCs w:val="18"/>
          </w:rPr>
          <w:t>3.4</w:t>
        </w:r>
        <w:r w:rsidR="00484079" w:rsidRPr="00484079">
          <w:rPr>
            <w:rFonts w:eastAsiaTheme="minorEastAsia" w:cstheme="minorBidi"/>
            <w:noProof/>
            <w:sz w:val="18"/>
            <w:szCs w:val="18"/>
          </w:rPr>
          <w:tab/>
        </w:r>
        <w:r w:rsidR="00484079" w:rsidRPr="00484079">
          <w:rPr>
            <w:rStyle w:val="Hypertextovodkaz"/>
            <w:noProof/>
            <w:sz w:val="18"/>
            <w:szCs w:val="18"/>
          </w:rPr>
          <w:t>Finanční analýza</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_Toc34910885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10</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886" w:history="1">
        <w:r w:rsidR="00484079" w:rsidRPr="00484079">
          <w:rPr>
            <w:rStyle w:val="Hypertextovodkaz"/>
            <w:noProof/>
            <w:sz w:val="18"/>
            <w:szCs w:val="18"/>
          </w:rPr>
          <w:t>4.</w:t>
        </w:r>
        <w:r w:rsidR="00484079" w:rsidRPr="00484079">
          <w:rPr>
            <w:rFonts w:eastAsiaTheme="minorEastAsia" w:cstheme="minorBidi"/>
            <w:noProof/>
            <w:sz w:val="18"/>
            <w:szCs w:val="18"/>
          </w:rPr>
          <w:tab/>
        </w:r>
        <w:r w:rsidR="00484079" w:rsidRPr="00484079">
          <w:rPr>
            <w:rStyle w:val="Hypertextovodkaz"/>
            <w:noProof/>
            <w:sz w:val="18"/>
            <w:szCs w:val="18"/>
          </w:rPr>
          <w:t>Přehled nemovitého majetku města Slavkov u Brna</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_Toc34910886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13</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0" w:history="1">
        <w:r w:rsidR="00484079" w:rsidRPr="00484079">
          <w:rPr>
            <w:rStyle w:val="Hypertextovodkaz"/>
            <w:noProof/>
            <w:sz w:val="18"/>
            <w:szCs w:val="18"/>
          </w:rPr>
          <w:t>4.1</w:t>
        </w:r>
        <w:r w:rsidR="00484079" w:rsidRPr="00484079">
          <w:rPr>
            <w:rFonts w:eastAsiaTheme="minorEastAsia" w:cstheme="minorBidi"/>
            <w:noProof/>
            <w:sz w:val="18"/>
            <w:szCs w:val="18"/>
          </w:rPr>
          <w:tab/>
        </w:r>
        <w:r w:rsidR="00484079" w:rsidRPr="00484079">
          <w:rPr>
            <w:rStyle w:val="Hypertextovodkaz"/>
            <w:noProof/>
            <w:sz w:val="18"/>
            <w:szCs w:val="18"/>
          </w:rPr>
          <w:t>Pozemky dle základních kategorií</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_Toc34910890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13</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1" w:history="1">
        <w:r w:rsidR="00484079" w:rsidRPr="00484079">
          <w:rPr>
            <w:rStyle w:val="Hypertextovodkaz"/>
            <w:noProof/>
            <w:sz w:val="18"/>
            <w:szCs w:val="18"/>
          </w:rPr>
          <w:t>4.2</w:t>
        </w:r>
        <w:r w:rsidR="00484079" w:rsidRPr="00484079">
          <w:rPr>
            <w:rFonts w:eastAsiaTheme="minorEastAsia" w:cstheme="minorBidi"/>
            <w:noProof/>
            <w:sz w:val="18"/>
            <w:szCs w:val="18"/>
          </w:rPr>
          <w:tab/>
        </w:r>
        <w:r w:rsidR="00484079" w:rsidRPr="00484079">
          <w:rPr>
            <w:rStyle w:val="Hypertextovodkaz"/>
            <w:noProof/>
            <w:sz w:val="18"/>
            <w:szCs w:val="18"/>
          </w:rPr>
          <w:t>Obytné domy (budovy)</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_Toc34910891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13</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2" w:history="1">
        <w:r w:rsidR="00484079" w:rsidRPr="00484079">
          <w:rPr>
            <w:rStyle w:val="Hypertextovodkaz"/>
            <w:noProof/>
            <w:sz w:val="18"/>
            <w:szCs w:val="18"/>
          </w:rPr>
          <w:t>4.3</w:t>
        </w:r>
        <w:r w:rsidR="00484079" w:rsidRPr="00484079">
          <w:rPr>
            <w:rFonts w:eastAsiaTheme="minorEastAsia" w:cstheme="minorBidi"/>
            <w:noProof/>
            <w:sz w:val="18"/>
            <w:szCs w:val="18"/>
          </w:rPr>
          <w:tab/>
        </w:r>
        <w:r w:rsidR="00484079" w:rsidRPr="00484079">
          <w:rPr>
            <w:rStyle w:val="Hypertextovodkaz"/>
            <w:noProof/>
            <w:sz w:val="18"/>
            <w:szCs w:val="18"/>
          </w:rPr>
          <w:t>Ostatní budovy a stavby</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_Toc34910892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18</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3" w:history="1">
        <w:r w:rsidR="00484079" w:rsidRPr="00484079">
          <w:rPr>
            <w:rStyle w:val="Hypertextovodkaz"/>
            <w:noProof/>
            <w:sz w:val="18"/>
            <w:szCs w:val="18"/>
          </w:rPr>
          <w:t>4.4</w:t>
        </w:r>
        <w:r w:rsidR="00484079" w:rsidRPr="00484079">
          <w:rPr>
            <w:rFonts w:eastAsiaTheme="minorEastAsia" w:cstheme="minorBidi"/>
            <w:noProof/>
            <w:sz w:val="18"/>
            <w:szCs w:val="18"/>
          </w:rPr>
          <w:tab/>
        </w:r>
        <w:r w:rsidR="00484079" w:rsidRPr="00484079">
          <w:rPr>
            <w:rStyle w:val="Hypertextovodkaz"/>
            <w:noProof/>
            <w:sz w:val="18"/>
            <w:szCs w:val="18"/>
          </w:rPr>
          <w:t>Ostatní nemovitý majetek</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_Toc34910893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20</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4" w:history="1">
        <w:r w:rsidR="00484079" w:rsidRPr="00484079">
          <w:rPr>
            <w:rStyle w:val="Hypertextovodkaz"/>
            <w:noProof/>
            <w:sz w:val="18"/>
            <w:szCs w:val="18"/>
          </w:rPr>
          <w:t>4.5</w:t>
        </w:r>
        <w:r w:rsidR="00484079" w:rsidRPr="00484079">
          <w:rPr>
            <w:rFonts w:eastAsiaTheme="minorEastAsia" w:cstheme="minorBidi"/>
            <w:noProof/>
            <w:sz w:val="18"/>
            <w:szCs w:val="18"/>
          </w:rPr>
          <w:tab/>
        </w:r>
        <w:r w:rsidR="00484079" w:rsidRPr="00484079">
          <w:rPr>
            <w:rStyle w:val="Hypertextovodkaz"/>
            <w:noProof/>
            <w:sz w:val="18"/>
            <w:szCs w:val="18"/>
          </w:rPr>
          <w:t>Historie větších změn v držení nemovitostí</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_Toc34910894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22</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895" w:history="1">
        <w:r w:rsidR="00484079" w:rsidRPr="00484079">
          <w:rPr>
            <w:rStyle w:val="Hypertextovodkaz"/>
            <w:noProof/>
            <w:sz w:val="18"/>
            <w:szCs w:val="18"/>
          </w:rPr>
          <w:t>5.</w:t>
        </w:r>
        <w:r w:rsidR="00484079" w:rsidRPr="00484079">
          <w:rPr>
            <w:rFonts w:eastAsiaTheme="minorEastAsia" w:cstheme="minorBidi"/>
            <w:noProof/>
            <w:sz w:val="18"/>
            <w:szCs w:val="18"/>
          </w:rPr>
          <w:tab/>
        </w:r>
        <w:r w:rsidR="00484079" w:rsidRPr="00484079">
          <w:rPr>
            <w:rStyle w:val="Hypertextovodkaz"/>
            <w:noProof/>
            <w:sz w:val="18"/>
            <w:szCs w:val="18"/>
          </w:rPr>
          <w:t>Bydlení a obyvatelstvo</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_Toc34910895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24</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896" w:history="1">
        <w:r w:rsidR="00484079" w:rsidRPr="00484079">
          <w:rPr>
            <w:rStyle w:val="Hypertextovodkaz"/>
            <w:noProof/>
            <w:sz w:val="18"/>
            <w:szCs w:val="18"/>
          </w:rPr>
          <w:t>6.</w:t>
        </w:r>
        <w:r w:rsidR="00484079" w:rsidRPr="00484079">
          <w:rPr>
            <w:rFonts w:eastAsiaTheme="minorEastAsia" w:cstheme="minorBidi"/>
            <w:noProof/>
            <w:sz w:val="18"/>
            <w:szCs w:val="18"/>
          </w:rPr>
          <w:tab/>
        </w:r>
        <w:r w:rsidR="00484079" w:rsidRPr="00484079">
          <w:rPr>
            <w:rStyle w:val="Hypertextovodkaz"/>
            <w:noProof/>
            <w:sz w:val="18"/>
            <w:szCs w:val="18"/>
          </w:rPr>
          <w:t>Pronájmy majetku</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_Toc34910896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26</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7" w:history="1">
        <w:r w:rsidR="00484079" w:rsidRPr="00484079">
          <w:rPr>
            <w:rStyle w:val="Hypertextovodkaz"/>
            <w:noProof/>
            <w:sz w:val="18"/>
            <w:szCs w:val="18"/>
          </w:rPr>
          <w:t>6.1</w:t>
        </w:r>
        <w:r w:rsidR="00484079" w:rsidRPr="00484079">
          <w:rPr>
            <w:rFonts w:eastAsiaTheme="minorEastAsia" w:cstheme="minorBidi"/>
            <w:noProof/>
            <w:sz w:val="18"/>
            <w:szCs w:val="18"/>
          </w:rPr>
          <w:tab/>
        </w:r>
        <w:r w:rsidR="00484079" w:rsidRPr="00484079">
          <w:rPr>
            <w:rStyle w:val="Hypertextovodkaz"/>
            <w:noProof/>
            <w:sz w:val="18"/>
            <w:szCs w:val="18"/>
          </w:rPr>
          <w:t>Pronájem (nájemní smlouvy) bytových jednotek</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_Toc34910897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26</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8" w:history="1">
        <w:r w:rsidR="00484079" w:rsidRPr="00484079">
          <w:rPr>
            <w:rStyle w:val="Hypertextovodkaz"/>
            <w:noProof/>
            <w:sz w:val="18"/>
            <w:szCs w:val="18"/>
          </w:rPr>
          <w:t>6.2</w:t>
        </w:r>
        <w:r w:rsidR="00484079" w:rsidRPr="00484079">
          <w:rPr>
            <w:rFonts w:eastAsiaTheme="minorEastAsia" w:cstheme="minorBidi"/>
            <w:noProof/>
            <w:sz w:val="18"/>
            <w:szCs w:val="18"/>
          </w:rPr>
          <w:tab/>
        </w:r>
        <w:r w:rsidR="00484079" w:rsidRPr="00484079">
          <w:rPr>
            <w:rStyle w:val="Hypertextovodkaz"/>
            <w:noProof/>
            <w:sz w:val="18"/>
            <w:szCs w:val="18"/>
          </w:rPr>
          <w:t>Pronájem nebytových prostor</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_Toc34910898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26</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899" w:history="1">
        <w:r w:rsidR="00484079" w:rsidRPr="00484079">
          <w:rPr>
            <w:rStyle w:val="Hypertextovodkaz"/>
            <w:noProof/>
            <w:sz w:val="18"/>
            <w:szCs w:val="18"/>
          </w:rPr>
          <w:t>6.3</w:t>
        </w:r>
        <w:r w:rsidR="00484079" w:rsidRPr="00484079">
          <w:rPr>
            <w:rFonts w:eastAsiaTheme="minorEastAsia" w:cstheme="minorBidi"/>
            <w:noProof/>
            <w:sz w:val="18"/>
            <w:szCs w:val="18"/>
          </w:rPr>
          <w:tab/>
        </w:r>
        <w:r w:rsidR="00484079" w:rsidRPr="00484079">
          <w:rPr>
            <w:rStyle w:val="Hypertextovodkaz"/>
            <w:noProof/>
            <w:sz w:val="18"/>
            <w:szCs w:val="18"/>
          </w:rPr>
          <w:t>Pronájem pozemků</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_Toc34910899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27</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900" w:history="1">
        <w:r w:rsidR="00484079" w:rsidRPr="00484079">
          <w:rPr>
            <w:rStyle w:val="Hypertextovodkaz"/>
            <w:noProof/>
            <w:sz w:val="18"/>
            <w:szCs w:val="18"/>
          </w:rPr>
          <w:t>7.</w:t>
        </w:r>
        <w:r w:rsidR="00484079" w:rsidRPr="00484079">
          <w:rPr>
            <w:rFonts w:eastAsiaTheme="minorEastAsia" w:cstheme="minorBidi"/>
            <w:noProof/>
            <w:sz w:val="18"/>
            <w:szCs w:val="18"/>
          </w:rPr>
          <w:tab/>
        </w:r>
        <w:r w:rsidR="00484079" w:rsidRPr="00484079">
          <w:rPr>
            <w:rStyle w:val="Hypertextovodkaz"/>
            <w:noProof/>
            <w:sz w:val="18"/>
            <w:szCs w:val="18"/>
          </w:rPr>
          <w:t>Ekonomický rozbor</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_Toc34910900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29</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901" w:history="1">
        <w:r w:rsidR="00484079" w:rsidRPr="00484079">
          <w:rPr>
            <w:rStyle w:val="Hypertextovodkaz"/>
            <w:noProof/>
            <w:sz w:val="18"/>
            <w:szCs w:val="18"/>
          </w:rPr>
          <w:t>7.1</w:t>
        </w:r>
        <w:r w:rsidR="00484079" w:rsidRPr="00484079">
          <w:rPr>
            <w:rFonts w:eastAsiaTheme="minorEastAsia" w:cstheme="minorBidi"/>
            <w:noProof/>
            <w:sz w:val="18"/>
            <w:szCs w:val="18"/>
          </w:rPr>
          <w:tab/>
        </w:r>
        <w:r w:rsidR="00484079" w:rsidRPr="00484079">
          <w:rPr>
            <w:rStyle w:val="Hypertextovodkaz"/>
            <w:noProof/>
            <w:sz w:val="18"/>
            <w:szCs w:val="18"/>
          </w:rPr>
          <w:t>Vybrané ukazatele finanční analýzy</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_Toc34910901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29</w:t>
        </w:r>
        <w:r w:rsidR="00BA5D2D" w:rsidRPr="00484079">
          <w:rPr>
            <w:noProof/>
            <w:webHidden/>
            <w:sz w:val="18"/>
            <w:szCs w:val="18"/>
          </w:rPr>
          <w:fldChar w:fldCharType="end"/>
        </w:r>
      </w:hyperlink>
    </w:p>
    <w:p w:rsidR="00484079" w:rsidRPr="00484079" w:rsidRDefault="00E27B6B">
      <w:pPr>
        <w:pStyle w:val="Obsah2"/>
        <w:tabs>
          <w:tab w:val="left" w:pos="880"/>
          <w:tab w:val="right" w:leader="dot" w:pos="9062"/>
        </w:tabs>
        <w:rPr>
          <w:rFonts w:eastAsiaTheme="minorEastAsia" w:cstheme="minorBidi"/>
          <w:noProof/>
          <w:sz w:val="18"/>
          <w:szCs w:val="18"/>
        </w:rPr>
      </w:pPr>
      <w:hyperlink w:anchor="_Toc34910902" w:history="1">
        <w:r w:rsidR="00484079" w:rsidRPr="00484079">
          <w:rPr>
            <w:rStyle w:val="Hypertextovodkaz"/>
            <w:noProof/>
            <w:sz w:val="18"/>
            <w:szCs w:val="18"/>
          </w:rPr>
          <w:t>7.2</w:t>
        </w:r>
        <w:r w:rsidR="00484079" w:rsidRPr="00484079">
          <w:rPr>
            <w:rFonts w:eastAsiaTheme="minorEastAsia" w:cstheme="minorBidi"/>
            <w:noProof/>
            <w:sz w:val="18"/>
            <w:szCs w:val="18"/>
          </w:rPr>
          <w:tab/>
        </w:r>
        <w:r w:rsidR="00484079" w:rsidRPr="00484079">
          <w:rPr>
            <w:rStyle w:val="Hypertextovodkaz"/>
            <w:noProof/>
            <w:sz w:val="18"/>
            <w:szCs w:val="18"/>
          </w:rPr>
          <w:t>Hodnota nemovitého majetku (vztah účetní a reálné)</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_Toc34910902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32</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903" w:history="1">
        <w:r w:rsidR="00484079" w:rsidRPr="00484079">
          <w:rPr>
            <w:rStyle w:val="Hypertextovodkaz"/>
            <w:noProof/>
            <w:sz w:val="18"/>
            <w:szCs w:val="18"/>
          </w:rPr>
          <w:t>8.</w:t>
        </w:r>
        <w:r w:rsidR="00484079" w:rsidRPr="00484079">
          <w:rPr>
            <w:rFonts w:eastAsiaTheme="minorEastAsia" w:cstheme="minorBidi"/>
            <w:noProof/>
            <w:sz w:val="18"/>
            <w:szCs w:val="18"/>
          </w:rPr>
          <w:tab/>
        </w:r>
        <w:r w:rsidR="00484079" w:rsidRPr="00484079">
          <w:rPr>
            <w:rStyle w:val="Hypertextovodkaz"/>
            <w:noProof/>
            <w:sz w:val="18"/>
            <w:szCs w:val="18"/>
          </w:rPr>
          <w:t>Závěry</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_Toc34910903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33</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904" w:history="1">
        <w:r w:rsidR="00484079" w:rsidRPr="00484079">
          <w:rPr>
            <w:rStyle w:val="Hypertextovodkaz"/>
            <w:noProof/>
            <w:sz w:val="18"/>
            <w:szCs w:val="18"/>
          </w:rPr>
          <w:t>9.</w:t>
        </w:r>
        <w:r w:rsidR="00484079" w:rsidRPr="00484079">
          <w:rPr>
            <w:rFonts w:eastAsiaTheme="minorEastAsia" w:cstheme="minorBidi"/>
            <w:noProof/>
            <w:sz w:val="18"/>
            <w:szCs w:val="18"/>
          </w:rPr>
          <w:tab/>
        </w:r>
        <w:r w:rsidR="00484079" w:rsidRPr="00484079">
          <w:rPr>
            <w:rStyle w:val="Hypertextovodkaz"/>
            <w:noProof/>
            <w:sz w:val="18"/>
            <w:szCs w:val="18"/>
          </w:rPr>
          <w:t>Doporučené implementační kroky</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_Toc34910904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40</w:t>
        </w:r>
        <w:r w:rsidR="00BA5D2D" w:rsidRPr="00484079">
          <w:rPr>
            <w:noProof/>
            <w:webHidden/>
            <w:sz w:val="18"/>
            <w:szCs w:val="18"/>
          </w:rPr>
          <w:fldChar w:fldCharType="end"/>
        </w:r>
      </w:hyperlink>
    </w:p>
    <w:p w:rsidR="00484079" w:rsidRPr="00484079" w:rsidRDefault="00E27B6B">
      <w:pPr>
        <w:pStyle w:val="Obsah1"/>
        <w:tabs>
          <w:tab w:val="left" w:pos="660"/>
          <w:tab w:val="right" w:leader="dot" w:pos="9062"/>
        </w:tabs>
        <w:rPr>
          <w:rFonts w:eastAsiaTheme="minorEastAsia" w:cstheme="minorBidi"/>
          <w:noProof/>
          <w:sz w:val="18"/>
          <w:szCs w:val="18"/>
        </w:rPr>
      </w:pPr>
      <w:hyperlink w:anchor="_Toc34910905" w:history="1">
        <w:r w:rsidR="00484079" w:rsidRPr="00484079">
          <w:rPr>
            <w:rStyle w:val="Hypertextovodkaz"/>
            <w:noProof/>
            <w:sz w:val="18"/>
            <w:szCs w:val="18"/>
          </w:rPr>
          <w:t>10.</w:t>
        </w:r>
        <w:r w:rsidR="00484079" w:rsidRPr="00484079">
          <w:rPr>
            <w:rFonts w:eastAsiaTheme="minorEastAsia" w:cstheme="minorBidi"/>
            <w:noProof/>
            <w:sz w:val="18"/>
            <w:szCs w:val="18"/>
          </w:rPr>
          <w:tab/>
        </w:r>
        <w:r w:rsidR="00484079" w:rsidRPr="00484079">
          <w:rPr>
            <w:rStyle w:val="Hypertextovodkaz"/>
            <w:noProof/>
            <w:sz w:val="18"/>
            <w:szCs w:val="18"/>
          </w:rPr>
          <w:t>Seznam zkratek</w:t>
        </w:r>
        <w:r w:rsidR="00484079" w:rsidRPr="00484079">
          <w:rPr>
            <w:noProof/>
            <w:webHidden/>
            <w:sz w:val="18"/>
            <w:szCs w:val="18"/>
          </w:rPr>
          <w:tab/>
        </w:r>
        <w:r w:rsidR="00BA5D2D" w:rsidRPr="00484079">
          <w:rPr>
            <w:noProof/>
            <w:webHidden/>
            <w:sz w:val="18"/>
            <w:szCs w:val="18"/>
          </w:rPr>
          <w:fldChar w:fldCharType="begin"/>
        </w:r>
        <w:r w:rsidR="00484079" w:rsidRPr="00484079">
          <w:rPr>
            <w:noProof/>
            <w:webHidden/>
            <w:sz w:val="18"/>
            <w:szCs w:val="18"/>
          </w:rPr>
          <w:instrText xml:space="preserve"> PAGEREF _Toc34910905 \h </w:instrText>
        </w:r>
        <w:r w:rsidR="00BA5D2D" w:rsidRPr="00484079">
          <w:rPr>
            <w:noProof/>
            <w:webHidden/>
            <w:sz w:val="18"/>
            <w:szCs w:val="18"/>
          </w:rPr>
        </w:r>
        <w:r w:rsidR="00BA5D2D" w:rsidRPr="00484079">
          <w:rPr>
            <w:noProof/>
            <w:webHidden/>
            <w:sz w:val="18"/>
            <w:szCs w:val="18"/>
          </w:rPr>
          <w:fldChar w:fldCharType="separate"/>
        </w:r>
        <w:r w:rsidR="00484079" w:rsidRPr="00484079">
          <w:rPr>
            <w:noProof/>
            <w:webHidden/>
            <w:sz w:val="18"/>
            <w:szCs w:val="18"/>
          </w:rPr>
          <w:t>41</w:t>
        </w:r>
        <w:r w:rsidR="00BA5D2D" w:rsidRPr="00484079">
          <w:rPr>
            <w:noProof/>
            <w:webHidden/>
            <w:sz w:val="18"/>
            <w:szCs w:val="18"/>
          </w:rPr>
          <w:fldChar w:fldCharType="end"/>
        </w:r>
      </w:hyperlink>
    </w:p>
    <w:p w:rsidR="003347DE" w:rsidRPr="00484079" w:rsidRDefault="00BA5D2D" w:rsidP="003347DE">
      <w:pPr>
        <w:jc w:val="center"/>
        <w:rPr>
          <w:sz w:val="18"/>
          <w:szCs w:val="18"/>
        </w:rPr>
      </w:pPr>
      <w:r w:rsidRPr="00484079">
        <w:rPr>
          <w:rFonts w:eastAsiaTheme="majorEastAsia" w:cstheme="majorBidi"/>
          <w:sz w:val="18"/>
          <w:szCs w:val="18"/>
        </w:rPr>
        <w:fldChar w:fldCharType="end"/>
      </w:r>
      <w:r w:rsidR="003347DE" w:rsidRPr="00484079">
        <w:rPr>
          <w:sz w:val="18"/>
          <w:szCs w:val="18"/>
        </w:rPr>
        <w:t xml:space="preserve"> </w:t>
      </w:r>
    </w:p>
    <w:p w:rsidR="003347DE" w:rsidRPr="002F7496" w:rsidRDefault="003347DE" w:rsidP="00F93C4B">
      <w:pPr>
        <w:spacing w:line="240" w:lineRule="auto"/>
        <w:jc w:val="left"/>
        <w:rPr>
          <w:sz w:val="20"/>
          <w:szCs w:val="20"/>
        </w:rPr>
      </w:pPr>
      <w:r w:rsidRPr="003347DE">
        <w:rPr>
          <w:sz w:val="20"/>
          <w:szCs w:val="20"/>
        </w:rPr>
        <w:br w:type="page"/>
      </w:r>
    </w:p>
    <w:p w:rsidR="003347DE" w:rsidRPr="00961DB1" w:rsidRDefault="003347DE" w:rsidP="009B1CEA">
      <w:pPr>
        <w:pStyle w:val="AQE1"/>
        <w:numPr>
          <w:ilvl w:val="0"/>
          <w:numId w:val="6"/>
        </w:numPr>
        <w:rPr>
          <w:sz w:val="28"/>
          <w:szCs w:val="28"/>
          <w:lang w:val="cs-CZ"/>
        </w:rPr>
      </w:pPr>
      <w:bookmarkStart w:id="10" w:name="_Toc34910879"/>
      <w:r w:rsidRPr="00961DB1">
        <w:rPr>
          <w:sz w:val="28"/>
          <w:szCs w:val="28"/>
          <w:lang w:val="cs-CZ"/>
        </w:rPr>
        <w:lastRenderedPageBreak/>
        <w:t>Úvod</w:t>
      </w:r>
      <w:r w:rsidR="00D81F32" w:rsidRPr="00961DB1">
        <w:rPr>
          <w:sz w:val="28"/>
          <w:szCs w:val="28"/>
          <w:lang w:val="cs-CZ"/>
        </w:rPr>
        <w:t xml:space="preserve"> a shrnutí</w:t>
      </w:r>
      <w:bookmarkEnd w:id="10"/>
    </w:p>
    <w:p w:rsidR="00961DB1" w:rsidRPr="00961DB1" w:rsidRDefault="00961DB1" w:rsidP="00961DB1">
      <w:pPr>
        <w:rPr>
          <w:sz w:val="20"/>
          <w:szCs w:val="20"/>
        </w:rPr>
      </w:pPr>
      <w:r w:rsidRPr="00961DB1">
        <w:rPr>
          <w:sz w:val="20"/>
          <w:szCs w:val="20"/>
        </w:rPr>
        <w:t>Obec lze vnímat jako veřejnoprávní korporaci, která má vlastní majetek. Hospodaření s</w:t>
      </w:r>
      <w:r w:rsidR="00B93152">
        <w:rPr>
          <w:sz w:val="20"/>
          <w:szCs w:val="20"/>
        </w:rPr>
        <w:t> </w:t>
      </w:r>
      <w:r w:rsidRPr="00961DB1">
        <w:rPr>
          <w:sz w:val="20"/>
          <w:szCs w:val="20"/>
        </w:rPr>
        <w:t>majetkem obce patří do její samostatné působnosti. Obec vystupuje v právních vztazích svým jménem a nese odpovědnost z těchto vztahů vyplývající. Majetek obce, s ohledem na princip dobrého hospodáře, má být využíván účelně a hospodárně v souladu s jejími zájmy a úkoly vyplývajícími ze zákonem vymezené působnosti. Obec je povinna pečovat o zachování a rozvoj svého majetku. Majetek obce musí být chráněn před zničením, poškozením, odcizením nebo zneužitím. S nepotřebným majetkem obec naloží způsoby a</w:t>
      </w:r>
      <w:r w:rsidR="00B93152">
        <w:rPr>
          <w:sz w:val="20"/>
          <w:szCs w:val="20"/>
        </w:rPr>
        <w:t> </w:t>
      </w:r>
      <w:r w:rsidRPr="00961DB1">
        <w:rPr>
          <w:sz w:val="20"/>
          <w:szCs w:val="20"/>
        </w:rPr>
        <w:t>za podmínek stanovených zákony a předpisy. Záměr obce prodat, směnit nebo darovat nemovitý majetek, pronajmout jej nebo poskytnout jako výpůjčku</w:t>
      </w:r>
      <w:r w:rsidR="00472CBE">
        <w:rPr>
          <w:sz w:val="20"/>
          <w:szCs w:val="20"/>
        </w:rPr>
        <w:t>,</w:t>
      </w:r>
      <w:r w:rsidRPr="00961DB1">
        <w:rPr>
          <w:sz w:val="20"/>
          <w:szCs w:val="20"/>
        </w:rPr>
        <w:t xml:space="preserve"> obec zveřejní před rozhodnutím v příslušném orgánu obce vyvěšením na úřední desce úřadu, aby se k němu mohli zájemci vyjádřit a předložit své nabídky. Záměr může obec též zveřejnit způsobem v místě obvyklým. Pokud obec záměr nezveřejní, je právní jednání neplatné.</w:t>
      </w:r>
    </w:p>
    <w:p w:rsidR="00961DB1" w:rsidRPr="00961DB1" w:rsidRDefault="00961DB1" w:rsidP="00961DB1">
      <w:pPr>
        <w:rPr>
          <w:sz w:val="20"/>
          <w:szCs w:val="20"/>
        </w:rPr>
      </w:pPr>
      <w:r w:rsidRPr="00961DB1">
        <w:rPr>
          <w:sz w:val="20"/>
          <w:szCs w:val="20"/>
        </w:rPr>
        <w:t>Obci nelze upřít právo na žádný druh majetku, může tedy vlastnit jakýkoliv majetek stejně jako právnické a fyzické osoby.</w:t>
      </w:r>
    </w:p>
    <w:p w:rsidR="00961DB1" w:rsidRPr="00961DB1" w:rsidRDefault="00961DB1" w:rsidP="00961DB1">
      <w:pPr>
        <w:spacing w:before="120" w:after="120"/>
        <w:rPr>
          <w:sz w:val="20"/>
          <w:szCs w:val="20"/>
        </w:rPr>
      </w:pPr>
      <w:r w:rsidRPr="00961DB1">
        <w:rPr>
          <w:sz w:val="20"/>
          <w:szCs w:val="20"/>
        </w:rPr>
        <w:t>Majetkem obce rozumíme:</w:t>
      </w:r>
    </w:p>
    <w:p w:rsidR="00961DB1" w:rsidRPr="00961DB1" w:rsidRDefault="00961DB1" w:rsidP="009B1CEA">
      <w:pPr>
        <w:pStyle w:val="Odstavecseseznamem"/>
        <w:numPr>
          <w:ilvl w:val="0"/>
          <w:numId w:val="7"/>
        </w:numPr>
        <w:rPr>
          <w:sz w:val="20"/>
          <w:szCs w:val="20"/>
        </w:rPr>
      </w:pPr>
      <w:r w:rsidRPr="00961DB1">
        <w:rPr>
          <w:sz w:val="20"/>
          <w:szCs w:val="20"/>
        </w:rPr>
        <w:t>věci, byty a nebytové prostory, které obec vlastní či spoluvlastní</w:t>
      </w:r>
    </w:p>
    <w:p w:rsidR="00961DB1" w:rsidRPr="00961DB1" w:rsidRDefault="00961DB1" w:rsidP="009B1CEA">
      <w:pPr>
        <w:pStyle w:val="Odstavecseseznamem"/>
        <w:numPr>
          <w:ilvl w:val="0"/>
          <w:numId w:val="7"/>
        </w:numPr>
        <w:rPr>
          <w:sz w:val="20"/>
          <w:szCs w:val="20"/>
        </w:rPr>
      </w:pPr>
      <w:r w:rsidRPr="00961DB1">
        <w:rPr>
          <w:sz w:val="20"/>
          <w:szCs w:val="20"/>
        </w:rPr>
        <w:t>majetková práva</w:t>
      </w:r>
    </w:p>
    <w:p w:rsidR="00961DB1" w:rsidRPr="00961DB1" w:rsidRDefault="00961DB1" w:rsidP="009B1CEA">
      <w:pPr>
        <w:pStyle w:val="Odstavecseseznamem"/>
        <w:numPr>
          <w:ilvl w:val="0"/>
          <w:numId w:val="7"/>
        </w:numPr>
        <w:rPr>
          <w:sz w:val="20"/>
          <w:szCs w:val="20"/>
        </w:rPr>
      </w:pPr>
      <w:r w:rsidRPr="00961DB1">
        <w:rPr>
          <w:sz w:val="20"/>
          <w:szCs w:val="20"/>
        </w:rPr>
        <w:t>jiné majetkové hodnoty, které vznikly z činnosti obce, orgánů obce či jejích organizačních složek.</w:t>
      </w:r>
    </w:p>
    <w:p w:rsidR="00961DB1" w:rsidRDefault="00961DB1" w:rsidP="00961DB1">
      <w:pPr>
        <w:rPr>
          <w:sz w:val="20"/>
          <w:szCs w:val="20"/>
        </w:rPr>
      </w:pPr>
      <w:r w:rsidRPr="00961DB1">
        <w:rPr>
          <w:sz w:val="20"/>
          <w:szCs w:val="20"/>
        </w:rPr>
        <w:t xml:space="preserve">Studie pojednává o obvykle nejvýznamnější části majetku </w:t>
      </w:r>
      <w:r w:rsidR="00470A8A">
        <w:rPr>
          <w:sz w:val="20"/>
          <w:szCs w:val="20"/>
        </w:rPr>
        <w:t xml:space="preserve">obce </w:t>
      </w:r>
      <w:r w:rsidRPr="00961DB1">
        <w:rPr>
          <w:sz w:val="20"/>
          <w:szCs w:val="20"/>
        </w:rPr>
        <w:t>a tím je nemovitý majetek. Nicméně v</w:t>
      </w:r>
      <w:r w:rsidR="00470A8A">
        <w:rPr>
          <w:sz w:val="20"/>
          <w:szCs w:val="20"/>
        </w:rPr>
        <w:t> </w:t>
      </w:r>
      <w:r w:rsidRPr="00961DB1">
        <w:rPr>
          <w:sz w:val="20"/>
          <w:szCs w:val="20"/>
        </w:rPr>
        <w:t>následující</w:t>
      </w:r>
      <w:r w:rsidR="00470A8A">
        <w:rPr>
          <w:sz w:val="20"/>
          <w:szCs w:val="20"/>
        </w:rPr>
        <w:t>ch kapitolách se nelze vyhnout některým komplexnějším pojmům vztahujícím se k majetku v celé jeho šíři</w:t>
      </w:r>
      <w:r w:rsidRPr="00961DB1">
        <w:rPr>
          <w:sz w:val="20"/>
          <w:szCs w:val="20"/>
        </w:rPr>
        <w:t>.</w:t>
      </w:r>
    </w:p>
    <w:p w:rsidR="00B0115B" w:rsidRDefault="00B0115B" w:rsidP="00961DB1">
      <w:pPr>
        <w:rPr>
          <w:sz w:val="20"/>
          <w:szCs w:val="20"/>
        </w:rPr>
      </w:pPr>
    </w:p>
    <w:p w:rsidR="00B0115B" w:rsidRPr="00B0115B" w:rsidRDefault="00B0115B" w:rsidP="00961DB1">
      <w:pPr>
        <w:rPr>
          <w:i/>
          <w:sz w:val="16"/>
          <w:szCs w:val="16"/>
        </w:rPr>
      </w:pPr>
      <w:r>
        <w:rPr>
          <w:i/>
          <w:sz w:val="16"/>
          <w:szCs w:val="16"/>
        </w:rPr>
        <w:t>Poznámka: pokud není uvedeno jinak, zdrojem prezentovaných dat jsou informační systémy a záznamy města.</w:t>
      </w:r>
    </w:p>
    <w:p w:rsidR="009A4965" w:rsidRDefault="009A4965" w:rsidP="00961DB1">
      <w:pPr>
        <w:rPr>
          <w:sz w:val="20"/>
          <w:szCs w:val="20"/>
        </w:rPr>
      </w:pPr>
    </w:p>
    <w:p w:rsidR="009A4965" w:rsidRPr="00EF607D" w:rsidRDefault="009A4965" w:rsidP="009A4965">
      <w:pPr>
        <w:rPr>
          <w:b/>
          <w:sz w:val="20"/>
          <w:szCs w:val="20"/>
        </w:rPr>
      </w:pPr>
      <w:r w:rsidRPr="00EF607D">
        <w:rPr>
          <w:b/>
          <w:sz w:val="20"/>
          <w:szCs w:val="20"/>
        </w:rPr>
        <w:t>Shrnutí výsledků</w:t>
      </w:r>
    </w:p>
    <w:p w:rsidR="009A4965" w:rsidRPr="00EF607D" w:rsidRDefault="009A4965" w:rsidP="009A4965">
      <w:pPr>
        <w:rPr>
          <w:b/>
          <w:sz w:val="20"/>
          <w:szCs w:val="20"/>
        </w:rPr>
      </w:pPr>
    </w:p>
    <w:p w:rsidR="009A4965" w:rsidRPr="00EF607D" w:rsidRDefault="009A4965" w:rsidP="009A4965">
      <w:pPr>
        <w:rPr>
          <w:sz w:val="20"/>
          <w:szCs w:val="20"/>
        </w:rPr>
      </w:pPr>
      <w:r w:rsidRPr="00EF607D">
        <w:rPr>
          <w:sz w:val="20"/>
          <w:szCs w:val="20"/>
        </w:rPr>
        <w:t>Projekt se zaměřuje na využití nemovitého majetku a rozčleňuje tento majetek města Slavkov u Brna na stavby a pozemky. Pozemky jsou členěny na základní kategorie:</w:t>
      </w:r>
    </w:p>
    <w:p w:rsidR="009A4965" w:rsidRPr="00EF607D" w:rsidRDefault="009A4965" w:rsidP="009A4965">
      <w:pPr>
        <w:pStyle w:val="Odstavecseseznamem"/>
        <w:numPr>
          <w:ilvl w:val="0"/>
          <w:numId w:val="41"/>
        </w:numPr>
        <w:spacing w:before="120"/>
        <w:rPr>
          <w:sz w:val="20"/>
          <w:szCs w:val="20"/>
        </w:rPr>
      </w:pPr>
      <w:r w:rsidRPr="00EF607D">
        <w:rPr>
          <w:sz w:val="20"/>
          <w:szCs w:val="20"/>
        </w:rPr>
        <w:t>lesy</w:t>
      </w:r>
    </w:p>
    <w:p w:rsidR="009A4965" w:rsidRPr="00EF607D" w:rsidRDefault="009A4965" w:rsidP="009A4965">
      <w:pPr>
        <w:pStyle w:val="Odstavecseseznamem"/>
        <w:numPr>
          <w:ilvl w:val="0"/>
          <w:numId w:val="41"/>
        </w:numPr>
        <w:spacing w:before="120"/>
        <w:rPr>
          <w:sz w:val="20"/>
          <w:szCs w:val="20"/>
        </w:rPr>
      </w:pPr>
      <w:r w:rsidRPr="00EF607D">
        <w:rPr>
          <w:sz w:val="20"/>
          <w:szCs w:val="20"/>
        </w:rPr>
        <w:t>zahrady, vodní plochy, trvalý porost, vinice, sady</w:t>
      </w:r>
    </w:p>
    <w:p w:rsidR="009A4965" w:rsidRPr="00EF607D" w:rsidRDefault="009A4965" w:rsidP="009A4965">
      <w:pPr>
        <w:pStyle w:val="Odstavecseseznamem"/>
        <w:numPr>
          <w:ilvl w:val="0"/>
          <w:numId w:val="41"/>
        </w:numPr>
        <w:spacing w:before="120"/>
        <w:rPr>
          <w:sz w:val="20"/>
          <w:szCs w:val="20"/>
        </w:rPr>
      </w:pPr>
      <w:r w:rsidRPr="00EF607D">
        <w:rPr>
          <w:sz w:val="20"/>
          <w:szCs w:val="20"/>
        </w:rPr>
        <w:t>zastavěná plocha</w:t>
      </w:r>
    </w:p>
    <w:p w:rsidR="009A4965" w:rsidRPr="00EF607D" w:rsidRDefault="009A4965" w:rsidP="009A4965">
      <w:pPr>
        <w:pStyle w:val="Odstavecseseznamem"/>
        <w:numPr>
          <w:ilvl w:val="0"/>
          <w:numId w:val="41"/>
        </w:numPr>
        <w:spacing w:before="120"/>
        <w:rPr>
          <w:sz w:val="20"/>
          <w:szCs w:val="20"/>
        </w:rPr>
      </w:pPr>
      <w:r w:rsidRPr="00EF607D">
        <w:rPr>
          <w:sz w:val="20"/>
          <w:szCs w:val="20"/>
        </w:rPr>
        <w:t>zemědělská půda a ostatní plocha</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Stavby jsou rozděleny na:</w:t>
      </w:r>
    </w:p>
    <w:p w:rsidR="009A4965" w:rsidRPr="00EF607D" w:rsidRDefault="009A4965" w:rsidP="009A4965">
      <w:pPr>
        <w:pStyle w:val="Odstavecseseznamem"/>
        <w:numPr>
          <w:ilvl w:val="0"/>
          <w:numId w:val="41"/>
        </w:numPr>
        <w:spacing w:before="120"/>
        <w:rPr>
          <w:sz w:val="20"/>
          <w:szCs w:val="20"/>
        </w:rPr>
      </w:pPr>
      <w:r w:rsidRPr="00EF607D">
        <w:rPr>
          <w:sz w:val="20"/>
          <w:szCs w:val="20"/>
        </w:rPr>
        <w:t>obytné domy (budovy)</w:t>
      </w:r>
    </w:p>
    <w:p w:rsidR="009A4965" w:rsidRPr="00EF607D" w:rsidRDefault="009A4965" w:rsidP="009A4965">
      <w:pPr>
        <w:pStyle w:val="Odstavecseseznamem"/>
        <w:numPr>
          <w:ilvl w:val="0"/>
          <w:numId w:val="41"/>
        </w:numPr>
        <w:spacing w:before="120"/>
        <w:rPr>
          <w:sz w:val="20"/>
          <w:szCs w:val="20"/>
        </w:rPr>
      </w:pPr>
      <w:r w:rsidRPr="00EF607D">
        <w:rPr>
          <w:sz w:val="20"/>
          <w:szCs w:val="20"/>
        </w:rPr>
        <w:t>ostatní budovy a stavby</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Prvotní rozčlenění a analýza identifikuje také ostatní nemovitý majetek, do kterého je zahrnuta především městská infrastruktura, tj. místní komunikace, inženýrské sítě mosty, vodní díla a větší mobiliář.</w:t>
      </w:r>
    </w:p>
    <w:p w:rsidR="009A4965" w:rsidRPr="00EF607D" w:rsidRDefault="009A4965" w:rsidP="009A4965">
      <w:pPr>
        <w:rPr>
          <w:sz w:val="20"/>
          <w:szCs w:val="20"/>
        </w:rPr>
      </w:pPr>
      <w:r w:rsidRPr="00EF607D">
        <w:rPr>
          <w:sz w:val="20"/>
          <w:szCs w:val="20"/>
        </w:rPr>
        <w:t xml:space="preserve">U všech typů nemovitého majetku, pokud byla data dostupná, je přehledně zobrazena pořizovací hodnota, zůstatková hodnota a odhad reálné hodnoty (vychází </w:t>
      </w:r>
      <w:r w:rsidR="009339D6" w:rsidRPr="00EF607D">
        <w:rPr>
          <w:sz w:val="20"/>
          <w:szCs w:val="20"/>
        </w:rPr>
        <w:t xml:space="preserve">především </w:t>
      </w:r>
      <w:r w:rsidRPr="00EF607D">
        <w:rPr>
          <w:sz w:val="20"/>
          <w:szCs w:val="20"/>
        </w:rPr>
        <w:t>z </w:t>
      </w:r>
      <w:r w:rsidR="00B85757">
        <w:rPr>
          <w:sz w:val="20"/>
          <w:szCs w:val="20"/>
        </w:rPr>
        <w:t xml:space="preserve"> </w:t>
      </w:r>
      <w:r w:rsidR="00B85757" w:rsidRPr="00F07815">
        <w:rPr>
          <w:sz w:val="20"/>
          <w:szCs w:val="20"/>
        </w:rPr>
        <w:t>realistického odhadu odpovědných zaměstnanců úřadu, určeného na základě aktuálních cen nemovitostí ve Slavkově u Brna</w:t>
      </w:r>
      <w:r w:rsidR="007A55A0" w:rsidRPr="00F07815">
        <w:rPr>
          <w:sz w:val="20"/>
          <w:szCs w:val="20"/>
        </w:rPr>
        <w:t xml:space="preserve">, </w:t>
      </w:r>
      <w:r w:rsidR="00F07815">
        <w:rPr>
          <w:sz w:val="20"/>
          <w:szCs w:val="20"/>
        </w:rPr>
        <w:t>a to</w:t>
      </w:r>
      <w:r w:rsidR="00F07815" w:rsidRPr="00F07815">
        <w:rPr>
          <w:sz w:val="20"/>
          <w:szCs w:val="20"/>
        </w:rPr>
        <w:t xml:space="preserve"> aktuálních cen za stavbu, </w:t>
      </w:r>
      <w:r w:rsidR="007A55A0" w:rsidRPr="00F07815">
        <w:rPr>
          <w:sz w:val="20"/>
          <w:szCs w:val="20"/>
        </w:rPr>
        <w:t>s přihlédnutím ke stáří a opotřebení majetku,</w:t>
      </w:r>
      <w:r w:rsidR="00F07815" w:rsidRPr="00F07815">
        <w:rPr>
          <w:sz w:val="20"/>
          <w:szCs w:val="20"/>
        </w:rPr>
        <w:t xml:space="preserve"> u bytových domů se jedná</w:t>
      </w:r>
      <w:r w:rsidR="007A55A0" w:rsidRPr="00F07815">
        <w:rPr>
          <w:sz w:val="20"/>
          <w:szCs w:val="20"/>
        </w:rPr>
        <w:t xml:space="preserve"> o součet aktuálních cen bytů v</w:t>
      </w:r>
      <w:r w:rsidR="00F07815" w:rsidRPr="00F07815">
        <w:rPr>
          <w:sz w:val="20"/>
          <w:szCs w:val="20"/>
        </w:rPr>
        <w:t> </w:t>
      </w:r>
      <w:r w:rsidR="007A55A0" w:rsidRPr="00F07815">
        <w:rPr>
          <w:sz w:val="20"/>
          <w:szCs w:val="20"/>
        </w:rPr>
        <w:t>budově</w:t>
      </w:r>
      <w:r w:rsidR="00F07815" w:rsidRPr="00F07815">
        <w:rPr>
          <w:sz w:val="20"/>
          <w:szCs w:val="20"/>
        </w:rPr>
        <w:t xml:space="preserve"> odvozený od uskutečněných prodejů a cen typově shodných bytů</w:t>
      </w:r>
      <w:r w:rsidR="00B85757" w:rsidRPr="00F07815">
        <w:rPr>
          <w:sz w:val="20"/>
          <w:szCs w:val="20"/>
        </w:rPr>
        <w:t>)</w:t>
      </w:r>
      <w:r w:rsidR="00B85757">
        <w:rPr>
          <w:sz w:val="20"/>
          <w:szCs w:val="20"/>
        </w:rPr>
        <w:t xml:space="preserve">. </w:t>
      </w:r>
      <w:r w:rsidRPr="00EF607D">
        <w:rPr>
          <w:sz w:val="20"/>
          <w:szCs w:val="20"/>
        </w:rPr>
        <w:t>U</w:t>
      </w:r>
      <w:r w:rsidR="007A55A0">
        <w:rPr>
          <w:sz w:val="20"/>
          <w:szCs w:val="20"/>
        </w:rPr>
        <w:t xml:space="preserve"> </w:t>
      </w:r>
      <w:r w:rsidRPr="00EF607D">
        <w:rPr>
          <w:sz w:val="20"/>
          <w:szCs w:val="20"/>
        </w:rPr>
        <w:t xml:space="preserve">některých staveb je </w:t>
      </w:r>
      <w:r w:rsidR="009339D6" w:rsidRPr="00EF607D">
        <w:rPr>
          <w:sz w:val="20"/>
          <w:szCs w:val="20"/>
        </w:rPr>
        <w:t xml:space="preserve">zmíněno i využití nemovitosti. </w:t>
      </w:r>
      <w:r w:rsidRPr="00EF607D">
        <w:rPr>
          <w:sz w:val="20"/>
          <w:szCs w:val="20"/>
        </w:rPr>
        <w:t xml:space="preserve">U komunikací je </w:t>
      </w:r>
      <w:r w:rsidRPr="00EF607D">
        <w:rPr>
          <w:sz w:val="20"/>
          <w:szCs w:val="20"/>
        </w:rPr>
        <w:lastRenderedPageBreak/>
        <w:t>sledována jejich délka a zachycena je i jejich případná oprava. Je evidována také historie změn v držení nemovitostí.</w:t>
      </w:r>
    </w:p>
    <w:p w:rsidR="009A4965" w:rsidRPr="00EF607D" w:rsidRDefault="009A4965" w:rsidP="009A4965">
      <w:pPr>
        <w:rPr>
          <w:sz w:val="20"/>
          <w:szCs w:val="20"/>
        </w:rPr>
      </w:pPr>
      <w:r w:rsidRPr="00EF607D">
        <w:rPr>
          <w:sz w:val="20"/>
          <w:szCs w:val="20"/>
        </w:rPr>
        <w:t>Významnou kapitolou analýzy se stal bytový fond a to od struktury bytového fondu a</w:t>
      </w:r>
      <w:r w:rsidR="00B93152">
        <w:rPr>
          <w:sz w:val="20"/>
          <w:szCs w:val="20"/>
        </w:rPr>
        <w:t> </w:t>
      </w:r>
      <w:r w:rsidRPr="00EF607D">
        <w:rPr>
          <w:sz w:val="20"/>
          <w:szCs w:val="20"/>
        </w:rPr>
        <w:t>bytových jednotek dle vlastníka až po analýzu pronájmu městských bytů a nebytových jednotek.</w:t>
      </w:r>
    </w:p>
    <w:p w:rsidR="009A4965" w:rsidRPr="00EF607D" w:rsidRDefault="009A4965" w:rsidP="009A4965">
      <w:pPr>
        <w:rPr>
          <w:sz w:val="20"/>
          <w:szCs w:val="20"/>
        </w:rPr>
      </w:pPr>
      <w:r w:rsidRPr="00EF607D">
        <w:rPr>
          <w:sz w:val="20"/>
          <w:szCs w:val="20"/>
        </w:rPr>
        <w:t>Nezanedbatelný prostor byl též věnován směrnicím, týkajících se hospodaření s majetkem města - Pravidla pro pronájmy obecních bytů, Směrnice o dlouhodobém majetku, Statut fondu rezerv a rozvoje a Statut fondu správy majetku.</w:t>
      </w:r>
    </w:p>
    <w:p w:rsidR="009A4965" w:rsidRPr="00EF607D" w:rsidRDefault="009A4965" w:rsidP="009A4965">
      <w:pPr>
        <w:rPr>
          <w:sz w:val="20"/>
          <w:szCs w:val="20"/>
        </w:rPr>
      </w:pPr>
      <w:r w:rsidRPr="00EF607D">
        <w:rPr>
          <w:sz w:val="20"/>
          <w:szCs w:val="20"/>
        </w:rPr>
        <w:t>Z provedené analýzy vyplynuly skutečnosti, z nichž některé byly realizovány během prací na projektu (oznámení o plošném zvýšení nájmu o 20%).</w:t>
      </w:r>
    </w:p>
    <w:p w:rsidR="009A4965" w:rsidRPr="00EF607D" w:rsidRDefault="009A4965" w:rsidP="009A4965">
      <w:pPr>
        <w:rPr>
          <w:sz w:val="20"/>
          <w:szCs w:val="20"/>
        </w:rPr>
      </w:pPr>
    </w:p>
    <w:p w:rsidR="009A4965" w:rsidRPr="00EF607D" w:rsidRDefault="009A4965" w:rsidP="009A4965">
      <w:pPr>
        <w:rPr>
          <w:sz w:val="20"/>
          <w:szCs w:val="20"/>
        </w:rPr>
      </w:pPr>
      <w:r w:rsidRPr="00E07304">
        <w:rPr>
          <w:sz w:val="20"/>
          <w:szCs w:val="20"/>
        </w:rPr>
        <w:t>Doporučený obsah směrnic (popis jednotlivých procesů):</w:t>
      </w:r>
    </w:p>
    <w:p w:rsidR="009A4965" w:rsidRPr="00EF607D" w:rsidRDefault="009A4965" w:rsidP="009A4965">
      <w:pPr>
        <w:pStyle w:val="Odstavecseseznamem"/>
        <w:numPr>
          <w:ilvl w:val="0"/>
          <w:numId w:val="33"/>
        </w:numPr>
        <w:spacing w:before="120"/>
        <w:rPr>
          <w:sz w:val="20"/>
          <w:szCs w:val="20"/>
        </w:rPr>
      </w:pPr>
      <w:r w:rsidRPr="00EF607D">
        <w:rPr>
          <w:sz w:val="20"/>
          <w:szCs w:val="20"/>
        </w:rPr>
        <w:t>rozčlenění majetku</w:t>
      </w:r>
    </w:p>
    <w:p w:rsidR="009A4965" w:rsidRPr="00EF607D" w:rsidRDefault="009A4965" w:rsidP="009A4965">
      <w:pPr>
        <w:pStyle w:val="Odstavecseseznamem"/>
        <w:numPr>
          <w:ilvl w:val="0"/>
          <w:numId w:val="33"/>
        </w:numPr>
        <w:spacing w:before="120"/>
        <w:rPr>
          <w:sz w:val="20"/>
          <w:szCs w:val="20"/>
        </w:rPr>
      </w:pPr>
      <w:r w:rsidRPr="00EF607D">
        <w:rPr>
          <w:sz w:val="20"/>
          <w:szCs w:val="20"/>
        </w:rPr>
        <w:t>koncepce nakládání s byty</w:t>
      </w:r>
    </w:p>
    <w:p w:rsidR="009A4965" w:rsidRPr="00EF607D" w:rsidRDefault="009A4965" w:rsidP="009A4965">
      <w:pPr>
        <w:pStyle w:val="Odstavecseseznamem"/>
        <w:numPr>
          <w:ilvl w:val="0"/>
          <w:numId w:val="33"/>
        </w:numPr>
        <w:spacing w:before="120"/>
        <w:rPr>
          <w:sz w:val="20"/>
          <w:szCs w:val="20"/>
        </w:rPr>
      </w:pPr>
      <w:r w:rsidRPr="00EF607D">
        <w:rPr>
          <w:sz w:val="20"/>
          <w:szCs w:val="20"/>
        </w:rPr>
        <w:t>pronájmy bytů</w:t>
      </w:r>
    </w:p>
    <w:p w:rsidR="009A4965" w:rsidRPr="00EF607D" w:rsidRDefault="009A4965" w:rsidP="009A4965">
      <w:pPr>
        <w:pStyle w:val="Odstavecseseznamem"/>
        <w:numPr>
          <w:ilvl w:val="0"/>
          <w:numId w:val="33"/>
        </w:numPr>
        <w:spacing w:before="120"/>
        <w:rPr>
          <w:sz w:val="20"/>
          <w:szCs w:val="20"/>
        </w:rPr>
      </w:pPr>
      <w:r w:rsidRPr="00EF607D">
        <w:rPr>
          <w:sz w:val="20"/>
          <w:szCs w:val="20"/>
        </w:rPr>
        <w:t>pravidla pro provedení oprav a údržby v bytech</w:t>
      </w:r>
    </w:p>
    <w:p w:rsidR="009A4965" w:rsidRPr="00EF607D" w:rsidRDefault="009A4965" w:rsidP="009A4965">
      <w:pPr>
        <w:pStyle w:val="Odstavecseseznamem"/>
        <w:numPr>
          <w:ilvl w:val="0"/>
          <w:numId w:val="33"/>
        </w:numPr>
        <w:spacing w:before="120"/>
        <w:rPr>
          <w:sz w:val="20"/>
          <w:szCs w:val="20"/>
        </w:rPr>
      </w:pPr>
      <w:r w:rsidRPr="00EF607D">
        <w:rPr>
          <w:sz w:val="20"/>
          <w:szCs w:val="20"/>
        </w:rPr>
        <w:t>cenová politika pronájmu bytů a nebytových prostor</w:t>
      </w:r>
    </w:p>
    <w:p w:rsidR="009A4965" w:rsidRPr="00EF607D" w:rsidRDefault="009A4965" w:rsidP="009A4965">
      <w:pPr>
        <w:pStyle w:val="Odstavecseseznamem"/>
        <w:numPr>
          <w:ilvl w:val="0"/>
          <w:numId w:val="33"/>
        </w:numPr>
        <w:spacing w:before="120"/>
        <w:rPr>
          <w:sz w:val="20"/>
          <w:szCs w:val="20"/>
        </w:rPr>
      </w:pPr>
      <w:r w:rsidRPr="00EF607D">
        <w:rPr>
          <w:sz w:val="20"/>
          <w:szCs w:val="20"/>
        </w:rPr>
        <w:t>vzory nájemních smluv</w:t>
      </w:r>
    </w:p>
    <w:p w:rsidR="009A4965" w:rsidRPr="00EF607D" w:rsidRDefault="009A4965" w:rsidP="009A4965">
      <w:pPr>
        <w:pStyle w:val="Odstavecseseznamem"/>
        <w:numPr>
          <w:ilvl w:val="0"/>
          <w:numId w:val="33"/>
        </w:numPr>
        <w:spacing w:before="120"/>
        <w:rPr>
          <w:sz w:val="20"/>
          <w:szCs w:val="20"/>
        </w:rPr>
      </w:pPr>
      <w:r w:rsidRPr="00EF607D">
        <w:rPr>
          <w:sz w:val="20"/>
          <w:szCs w:val="20"/>
        </w:rPr>
        <w:t>pasport majetku (udržovaný v aktuálním stavu)</w:t>
      </w:r>
    </w:p>
    <w:p w:rsidR="009A4965" w:rsidRPr="00EF607D" w:rsidRDefault="009A4965" w:rsidP="009A4965">
      <w:pPr>
        <w:pStyle w:val="Odstavecseseznamem"/>
        <w:numPr>
          <w:ilvl w:val="0"/>
          <w:numId w:val="33"/>
        </w:numPr>
        <w:spacing w:before="120"/>
        <w:rPr>
          <w:sz w:val="20"/>
          <w:szCs w:val="20"/>
        </w:rPr>
      </w:pPr>
      <w:r w:rsidRPr="00EF607D">
        <w:rPr>
          <w:sz w:val="20"/>
          <w:szCs w:val="20"/>
        </w:rPr>
        <w:t>plán obnovy majetku</w:t>
      </w:r>
    </w:p>
    <w:p w:rsidR="009A4965" w:rsidRPr="00EF607D" w:rsidRDefault="009A4965" w:rsidP="009A4965">
      <w:pPr>
        <w:pStyle w:val="Odstavecseseznamem"/>
        <w:numPr>
          <w:ilvl w:val="0"/>
          <w:numId w:val="33"/>
        </w:numPr>
        <w:spacing w:before="120"/>
        <w:rPr>
          <w:sz w:val="20"/>
          <w:szCs w:val="20"/>
        </w:rPr>
      </w:pPr>
      <w:r w:rsidRPr="00EF607D">
        <w:rPr>
          <w:sz w:val="20"/>
          <w:szCs w:val="20"/>
        </w:rPr>
        <w:t>statut fondu správy majetku</w:t>
      </w:r>
    </w:p>
    <w:p w:rsidR="00472CBE" w:rsidRDefault="00472CBE" w:rsidP="009A4965">
      <w:pPr>
        <w:rPr>
          <w:sz w:val="20"/>
          <w:szCs w:val="20"/>
        </w:rPr>
      </w:pPr>
    </w:p>
    <w:p w:rsidR="009A4965" w:rsidRPr="00E07304" w:rsidRDefault="009A4965" w:rsidP="009A4965">
      <w:pPr>
        <w:rPr>
          <w:sz w:val="20"/>
          <w:szCs w:val="20"/>
        </w:rPr>
      </w:pPr>
      <w:r w:rsidRPr="00E07304">
        <w:rPr>
          <w:sz w:val="20"/>
          <w:szCs w:val="20"/>
        </w:rPr>
        <w:t>Dále bylo definováno systémové rozčlenění majetku s definicí Pasportu majetku a</w:t>
      </w:r>
      <w:r w:rsidR="00B93152" w:rsidRPr="00E07304">
        <w:rPr>
          <w:sz w:val="20"/>
          <w:szCs w:val="20"/>
        </w:rPr>
        <w:t> </w:t>
      </w:r>
      <w:r w:rsidRPr="00E07304">
        <w:rPr>
          <w:sz w:val="20"/>
          <w:szCs w:val="20"/>
        </w:rPr>
        <w:t>s vyčleněním majetku zbytného.</w:t>
      </w:r>
    </w:p>
    <w:p w:rsidR="009A4965" w:rsidRPr="00EF607D" w:rsidRDefault="009A4965" w:rsidP="009A4965">
      <w:pPr>
        <w:rPr>
          <w:sz w:val="20"/>
          <w:szCs w:val="20"/>
        </w:rPr>
      </w:pPr>
      <w:r w:rsidRPr="00E07304">
        <w:rPr>
          <w:sz w:val="20"/>
          <w:szCs w:val="20"/>
        </w:rPr>
        <w:t xml:space="preserve">Pro efektivní nakládání s majetkem byl navržen </w:t>
      </w:r>
      <w:r w:rsidR="009339D6" w:rsidRPr="00E07304">
        <w:rPr>
          <w:sz w:val="20"/>
          <w:szCs w:val="20"/>
        </w:rPr>
        <w:t xml:space="preserve">systém </w:t>
      </w:r>
      <w:r w:rsidRPr="00E07304">
        <w:rPr>
          <w:sz w:val="20"/>
          <w:szCs w:val="20"/>
        </w:rPr>
        <w:t>řízené obnovy majetku města. Základem je vytvoření Plánu obnovy majetku města, tj. k vytvořenému</w:t>
      </w:r>
      <w:r w:rsidRPr="00EF607D">
        <w:rPr>
          <w:sz w:val="20"/>
          <w:szCs w:val="20"/>
        </w:rPr>
        <w:t xml:space="preserve"> rozčlenění majetku je nutné zjistit stav majetku a provozní úspory při realizaci obnovy a z těchto vzájemně provázaných veličin určit prioritu obnovy. Bylo také navrženo zajištění financí tak, aby byly využity s plánovitou obnovou majetku města s tím, že nebude ohroženo celkové hospodaření a rozvoj města. K tomu by měl sloužit buď nový fond, sloužící výhradně k o</w:t>
      </w:r>
      <w:r w:rsidR="009339D6" w:rsidRPr="00EF607D">
        <w:rPr>
          <w:sz w:val="20"/>
          <w:szCs w:val="20"/>
        </w:rPr>
        <w:t>bnově majetku města, anebo bude</w:t>
      </w:r>
      <w:r w:rsidRPr="00EF607D">
        <w:rPr>
          <w:sz w:val="20"/>
          <w:szCs w:val="20"/>
        </w:rPr>
        <w:t xml:space="preserve"> nutné </w:t>
      </w:r>
      <w:r w:rsidR="00472CBE">
        <w:rPr>
          <w:sz w:val="20"/>
          <w:szCs w:val="20"/>
        </w:rPr>
        <w:t>u</w:t>
      </w:r>
      <w:r w:rsidRPr="00EF607D">
        <w:rPr>
          <w:sz w:val="20"/>
          <w:szCs w:val="20"/>
        </w:rPr>
        <w:t>pravit stanovy (a samozřejmě nastavit nové mechanismy příjmů a výdajů) stávajícího Fondu správy majetku města.</w:t>
      </w:r>
    </w:p>
    <w:p w:rsidR="009A4965" w:rsidRPr="00EF607D" w:rsidRDefault="009A4965" w:rsidP="009A4965">
      <w:pPr>
        <w:rPr>
          <w:sz w:val="20"/>
          <w:szCs w:val="20"/>
        </w:rPr>
      </w:pPr>
      <w:r w:rsidRPr="00EF607D">
        <w:rPr>
          <w:sz w:val="20"/>
          <w:szCs w:val="20"/>
        </w:rPr>
        <w:t>Vlastní plán obnovy majetku bude obsahovat:</w:t>
      </w:r>
    </w:p>
    <w:p w:rsidR="009A4965" w:rsidRPr="00E07304" w:rsidRDefault="009A4965" w:rsidP="009A4965">
      <w:pPr>
        <w:pStyle w:val="Odstavecseseznamem"/>
        <w:numPr>
          <w:ilvl w:val="0"/>
          <w:numId w:val="35"/>
        </w:numPr>
        <w:spacing w:before="120"/>
        <w:rPr>
          <w:sz w:val="20"/>
          <w:szCs w:val="20"/>
        </w:rPr>
      </w:pPr>
      <w:r w:rsidRPr="00E07304">
        <w:rPr>
          <w:sz w:val="20"/>
          <w:szCs w:val="20"/>
        </w:rPr>
        <w:t>identifikační číslo (číslo ORG)</w:t>
      </w:r>
    </w:p>
    <w:p w:rsidR="009A4965" w:rsidRPr="00E07304" w:rsidRDefault="009A4965" w:rsidP="009A4965">
      <w:pPr>
        <w:pStyle w:val="Odstavecseseznamem"/>
        <w:numPr>
          <w:ilvl w:val="0"/>
          <w:numId w:val="35"/>
        </w:numPr>
        <w:spacing w:before="120"/>
        <w:rPr>
          <w:sz w:val="20"/>
          <w:szCs w:val="20"/>
        </w:rPr>
      </w:pPr>
      <w:r w:rsidRPr="00E07304">
        <w:rPr>
          <w:sz w:val="20"/>
          <w:szCs w:val="20"/>
        </w:rPr>
        <w:t>název</w:t>
      </w:r>
    </w:p>
    <w:p w:rsidR="009A4965" w:rsidRPr="00E07304" w:rsidRDefault="009A4965" w:rsidP="009A4965">
      <w:pPr>
        <w:pStyle w:val="Odstavecseseznamem"/>
        <w:numPr>
          <w:ilvl w:val="0"/>
          <w:numId w:val="35"/>
        </w:numPr>
        <w:spacing w:before="120"/>
        <w:rPr>
          <w:sz w:val="20"/>
          <w:szCs w:val="20"/>
        </w:rPr>
      </w:pPr>
      <w:r w:rsidRPr="00E07304">
        <w:rPr>
          <w:sz w:val="20"/>
          <w:szCs w:val="20"/>
        </w:rPr>
        <w:t>stav majetku:</w:t>
      </w:r>
    </w:p>
    <w:p w:rsidR="009A4965" w:rsidRPr="00E07304" w:rsidRDefault="009A4965" w:rsidP="009A4965">
      <w:pPr>
        <w:pStyle w:val="Odstavecseseznamem"/>
        <w:numPr>
          <w:ilvl w:val="0"/>
          <w:numId w:val="38"/>
        </w:numPr>
        <w:spacing w:before="120"/>
        <w:ind w:left="2552"/>
        <w:rPr>
          <w:sz w:val="20"/>
          <w:szCs w:val="20"/>
        </w:rPr>
      </w:pPr>
      <w:r w:rsidRPr="00E07304">
        <w:rPr>
          <w:sz w:val="20"/>
          <w:szCs w:val="20"/>
        </w:rPr>
        <w:t>výborný</w:t>
      </w:r>
    </w:p>
    <w:p w:rsidR="009A4965" w:rsidRPr="00E07304" w:rsidRDefault="009A4965" w:rsidP="009A4965">
      <w:pPr>
        <w:pStyle w:val="Odstavecseseznamem"/>
        <w:numPr>
          <w:ilvl w:val="0"/>
          <w:numId w:val="38"/>
        </w:numPr>
        <w:spacing w:before="120"/>
        <w:ind w:left="2552"/>
        <w:rPr>
          <w:sz w:val="20"/>
          <w:szCs w:val="20"/>
        </w:rPr>
      </w:pPr>
      <w:r w:rsidRPr="00E07304">
        <w:rPr>
          <w:sz w:val="20"/>
          <w:szCs w:val="20"/>
        </w:rPr>
        <w:t>velmi dobrý</w:t>
      </w:r>
    </w:p>
    <w:p w:rsidR="009A4965" w:rsidRPr="00E07304" w:rsidRDefault="009A4965" w:rsidP="009A4965">
      <w:pPr>
        <w:pStyle w:val="Odstavecseseznamem"/>
        <w:numPr>
          <w:ilvl w:val="0"/>
          <w:numId w:val="38"/>
        </w:numPr>
        <w:spacing w:before="120"/>
        <w:ind w:left="2552"/>
        <w:rPr>
          <w:sz w:val="20"/>
          <w:szCs w:val="20"/>
        </w:rPr>
      </w:pPr>
      <w:r w:rsidRPr="00E07304">
        <w:rPr>
          <w:sz w:val="20"/>
          <w:szCs w:val="20"/>
        </w:rPr>
        <w:t>dobrý</w:t>
      </w:r>
    </w:p>
    <w:p w:rsidR="009A4965" w:rsidRPr="00E07304" w:rsidRDefault="009A4965" w:rsidP="009A4965">
      <w:pPr>
        <w:pStyle w:val="Odstavecseseznamem"/>
        <w:numPr>
          <w:ilvl w:val="0"/>
          <w:numId w:val="38"/>
        </w:numPr>
        <w:spacing w:before="120"/>
        <w:ind w:left="2552"/>
        <w:rPr>
          <w:sz w:val="20"/>
          <w:szCs w:val="20"/>
        </w:rPr>
      </w:pPr>
      <w:r w:rsidRPr="00E07304">
        <w:rPr>
          <w:sz w:val="20"/>
          <w:szCs w:val="20"/>
        </w:rPr>
        <w:t>horší</w:t>
      </w:r>
    </w:p>
    <w:p w:rsidR="009A4965" w:rsidRPr="00E07304" w:rsidRDefault="009A4965" w:rsidP="009A4965">
      <w:pPr>
        <w:pStyle w:val="Odstavecseseznamem"/>
        <w:numPr>
          <w:ilvl w:val="0"/>
          <w:numId w:val="38"/>
        </w:numPr>
        <w:spacing w:before="120"/>
        <w:ind w:left="2552"/>
        <w:rPr>
          <w:sz w:val="20"/>
          <w:szCs w:val="20"/>
        </w:rPr>
      </w:pPr>
      <w:r w:rsidRPr="00E07304">
        <w:rPr>
          <w:sz w:val="20"/>
          <w:szCs w:val="20"/>
        </w:rPr>
        <w:t>špatný</w:t>
      </w:r>
    </w:p>
    <w:p w:rsidR="009A4965" w:rsidRPr="00E07304" w:rsidRDefault="009A4965" w:rsidP="009A4965">
      <w:pPr>
        <w:pStyle w:val="Odstavecseseznamem"/>
        <w:numPr>
          <w:ilvl w:val="0"/>
          <w:numId w:val="38"/>
        </w:numPr>
        <w:spacing w:before="120"/>
        <w:ind w:left="2552"/>
        <w:rPr>
          <w:sz w:val="20"/>
          <w:szCs w:val="20"/>
        </w:rPr>
      </w:pPr>
      <w:r w:rsidRPr="00E07304">
        <w:rPr>
          <w:sz w:val="20"/>
          <w:szCs w:val="20"/>
        </w:rPr>
        <w:t>nevyhovující</w:t>
      </w:r>
    </w:p>
    <w:p w:rsidR="009A4965" w:rsidRPr="00E07304" w:rsidRDefault="009A4965" w:rsidP="009A4965">
      <w:pPr>
        <w:rPr>
          <w:sz w:val="20"/>
          <w:szCs w:val="20"/>
        </w:rPr>
      </w:pPr>
      <w:r w:rsidRPr="00E07304">
        <w:rPr>
          <w:sz w:val="20"/>
          <w:szCs w:val="20"/>
        </w:rPr>
        <w:t>Pro roky minulosti (doporučujeme alespoň od roku 2016 evidovat opravy pro přehlednost a zejména pro plánování oprav jednotlivých subjektů do budoucnosti).</w:t>
      </w:r>
    </w:p>
    <w:p w:rsidR="009A4965" w:rsidRPr="00E07304" w:rsidRDefault="009A4965" w:rsidP="009A4965">
      <w:pPr>
        <w:pStyle w:val="Odstavecseseznamem"/>
        <w:numPr>
          <w:ilvl w:val="0"/>
          <w:numId w:val="35"/>
        </w:numPr>
        <w:spacing w:before="120"/>
        <w:rPr>
          <w:sz w:val="20"/>
          <w:szCs w:val="20"/>
        </w:rPr>
      </w:pPr>
      <w:r w:rsidRPr="00E07304">
        <w:rPr>
          <w:sz w:val="20"/>
          <w:szCs w:val="20"/>
        </w:rPr>
        <w:t>plán</w:t>
      </w:r>
    </w:p>
    <w:p w:rsidR="009A4965" w:rsidRPr="00E07304" w:rsidRDefault="009A4965" w:rsidP="009A4965">
      <w:pPr>
        <w:pStyle w:val="Odstavecseseznamem"/>
        <w:numPr>
          <w:ilvl w:val="0"/>
          <w:numId w:val="35"/>
        </w:numPr>
        <w:spacing w:before="120"/>
        <w:rPr>
          <w:sz w:val="20"/>
          <w:szCs w:val="20"/>
        </w:rPr>
      </w:pPr>
      <w:r w:rsidRPr="00E07304">
        <w:rPr>
          <w:sz w:val="20"/>
          <w:szCs w:val="20"/>
        </w:rPr>
        <w:t>skutečnost</w:t>
      </w:r>
    </w:p>
    <w:p w:rsidR="009A4965" w:rsidRPr="00E07304" w:rsidRDefault="009A4965" w:rsidP="009A4965">
      <w:pPr>
        <w:pStyle w:val="Odstavecseseznamem"/>
        <w:numPr>
          <w:ilvl w:val="0"/>
          <w:numId w:val="35"/>
        </w:numPr>
        <w:spacing w:before="120"/>
        <w:rPr>
          <w:sz w:val="20"/>
          <w:szCs w:val="20"/>
        </w:rPr>
      </w:pPr>
      <w:r w:rsidRPr="00E07304">
        <w:rPr>
          <w:sz w:val="20"/>
          <w:szCs w:val="20"/>
        </w:rPr>
        <w:t>popis opravy</w:t>
      </w:r>
    </w:p>
    <w:p w:rsidR="009A4965" w:rsidRPr="00E07304" w:rsidRDefault="009A4965" w:rsidP="009A4965">
      <w:pPr>
        <w:rPr>
          <w:sz w:val="20"/>
          <w:szCs w:val="20"/>
        </w:rPr>
      </w:pPr>
      <w:r w:rsidRPr="00E07304">
        <w:rPr>
          <w:sz w:val="20"/>
          <w:szCs w:val="20"/>
        </w:rPr>
        <w:t>Plán pro budoucnost vytvářet pětiletý (poslední sloupeček na období dalších tří let – přesně nespecifikováno)</w:t>
      </w:r>
    </w:p>
    <w:p w:rsidR="009A4965" w:rsidRPr="00E07304" w:rsidRDefault="009A4965" w:rsidP="009A4965">
      <w:pPr>
        <w:pStyle w:val="Odstavecseseznamem"/>
        <w:numPr>
          <w:ilvl w:val="0"/>
          <w:numId w:val="35"/>
        </w:numPr>
        <w:spacing w:before="120"/>
        <w:rPr>
          <w:sz w:val="20"/>
          <w:szCs w:val="20"/>
        </w:rPr>
      </w:pPr>
      <w:r w:rsidRPr="00E07304">
        <w:rPr>
          <w:sz w:val="20"/>
          <w:szCs w:val="20"/>
        </w:rPr>
        <w:t>odhadovaná výše výdajů na celkovou obnovu subjektu</w:t>
      </w:r>
    </w:p>
    <w:p w:rsidR="009A4965" w:rsidRPr="00E07304" w:rsidRDefault="009A4965" w:rsidP="009A4965">
      <w:pPr>
        <w:pStyle w:val="Odstavecseseznamem"/>
        <w:numPr>
          <w:ilvl w:val="0"/>
          <w:numId w:val="35"/>
        </w:numPr>
        <w:spacing w:before="120"/>
        <w:rPr>
          <w:sz w:val="20"/>
          <w:szCs w:val="20"/>
        </w:rPr>
      </w:pPr>
      <w:r w:rsidRPr="00E07304">
        <w:rPr>
          <w:sz w:val="20"/>
          <w:szCs w:val="20"/>
        </w:rPr>
        <w:lastRenderedPageBreak/>
        <w:t>způsob obnovy (oprava fasády, celková rekonstrukce, rekonstrukce stupaček atd.)</w:t>
      </w:r>
    </w:p>
    <w:p w:rsidR="009A4965" w:rsidRPr="00E07304" w:rsidRDefault="009A4965" w:rsidP="009A4965">
      <w:pPr>
        <w:pStyle w:val="Odstavecseseznamem"/>
        <w:numPr>
          <w:ilvl w:val="0"/>
          <w:numId w:val="35"/>
        </w:numPr>
        <w:spacing w:before="120"/>
        <w:rPr>
          <w:sz w:val="20"/>
          <w:szCs w:val="20"/>
        </w:rPr>
      </w:pPr>
      <w:r w:rsidRPr="00E07304">
        <w:rPr>
          <w:sz w:val="20"/>
          <w:szCs w:val="20"/>
        </w:rPr>
        <w:t>plánované částky v letech</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 xml:space="preserve">Poslední oblastí (ne co do významu) je oblast ekonomiky. Některá doporučení, vyplývající z hodnocení hospodaření, byla zmíněna výše. Základní problémem je, že výše nájmu z nemovitostí, a to jak z pronájmu bytů tak i nebytových prostor nepokrývá skutečné náklady </w:t>
      </w:r>
      <w:r w:rsidR="009339D6" w:rsidRPr="00EF607D">
        <w:rPr>
          <w:sz w:val="20"/>
          <w:szCs w:val="20"/>
        </w:rPr>
        <w:t xml:space="preserve">spojené </w:t>
      </w:r>
      <w:r w:rsidRPr="00EF607D">
        <w:rPr>
          <w:sz w:val="20"/>
          <w:szCs w:val="20"/>
        </w:rPr>
        <w:t xml:space="preserve">s údržbou nemovitostí. Empirické dokazování tohoto závěru je ale značně nesnadné, protože část nákladů (výdajů) v této oblasti je evidováno v rozpočtu města a část v účetnictví VHČ, které je ale pro toto zjišťování málo podrobné a částečné náklady z VHČ jsou evidovány v rozpočtu města. Také evidence jakýchkoliv změn </w:t>
      </w:r>
      <w:r w:rsidR="009339D6" w:rsidRPr="00EF607D">
        <w:rPr>
          <w:sz w:val="20"/>
          <w:szCs w:val="20"/>
        </w:rPr>
        <w:t xml:space="preserve">(především oprav a údržby) </w:t>
      </w:r>
      <w:r w:rsidRPr="00EF607D">
        <w:rPr>
          <w:sz w:val="20"/>
          <w:szCs w:val="20"/>
        </w:rPr>
        <w:t>v oblasti majetku je značně chaotická a vedena zpravidla</w:t>
      </w:r>
      <w:r w:rsidR="009339D6" w:rsidRPr="00EF607D">
        <w:rPr>
          <w:sz w:val="20"/>
          <w:szCs w:val="20"/>
        </w:rPr>
        <w:t xml:space="preserve"> pouze ručně na papíře, což též</w:t>
      </w:r>
      <w:r w:rsidRPr="00EF607D">
        <w:rPr>
          <w:sz w:val="20"/>
          <w:szCs w:val="20"/>
        </w:rPr>
        <w:t xml:space="preserve"> nepřispívá k přehlednosti a správnému vyhodnocování hospodaření s majetkem města. Proto doporučujeme vyvést z VHČ veškeré činnosti vyjma tepelného hospodaření.</w:t>
      </w:r>
    </w:p>
    <w:p w:rsidR="009A4965" w:rsidRPr="00961DB1" w:rsidRDefault="009A4965" w:rsidP="00961DB1">
      <w:pPr>
        <w:rPr>
          <w:sz w:val="20"/>
          <w:szCs w:val="20"/>
        </w:rPr>
      </w:pPr>
    </w:p>
    <w:p w:rsidR="00961DB1" w:rsidRPr="00961DB1" w:rsidRDefault="00961DB1" w:rsidP="009B1CEA">
      <w:pPr>
        <w:pStyle w:val="AQE1"/>
        <w:numPr>
          <w:ilvl w:val="0"/>
          <w:numId w:val="6"/>
        </w:numPr>
        <w:rPr>
          <w:sz w:val="28"/>
          <w:szCs w:val="28"/>
          <w:lang w:val="cs-CZ"/>
        </w:rPr>
      </w:pPr>
      <w:bookmarkStart w:id="11" w:name="_Toc34910880"/>
      <w:r w:rsidRPr="00961DB1">
        <w:rPr>
          <w:sz w:val="28"/>
          <w:szCs w:val="28"/>
          <w:lang w:val="cs-CZ"/>
        </w:rPr>
        <w:lastRenderedPageBreak/>
        <w:t>Základní členění majetku podle druhu vlastněných věcí (dle zákona o účetnictví)</w:t>
      </w:r>
      <w:bookmarkEnd w:id="11"/>
    </w:p>
    <w:p w:rsidR="00961DB1" w:rsidRPr="00961DB1" w:rsidRDefault="00961DB1" w:rsidP="00961DB1">
      <w:pPr>
        <w:rPr>
          <w:sz w:val="20"/>
          <w:szCs w:val="20"/>
        </w:rPr>
      </w:pPr>
    </w:p>
    <w:p w:rsidR="00961DB1" w:rsidRPr="00961DB1" w:rsidRDefault="00961DB1" w:rsidP="009B1CEA">
      <w:pPr>
        <w:pStyle w:val="Odstavecseseznamem"/>
        <w:numPr>
          <w:ilvl w:val="0"/>
          <w:numId w:val="8"/>
        </w:numPr>
        <w:ind w:hanging="294"/>
        <w:rPr>
          <w:sz w:val="20"/>
          <w:szCs w:val="20"/>
        </w:rPr>
      </w:pPr>
      <w:r w:rsidRPr="008D2EA9">
        <w:rPr>
          <w:b/>
          <w:sz w:val="20"/>
          <w:szCs w:val="20"/>
        </w:rPr>
        <w:t>hmotný</w:t>
      </w:r>
      <w:r w:rsidRPr="00961DB1">
        <w:rPr>
          <w:sz w:val="20"/>
          <w:szCs w:val="20"/>
        </w:rPr>
        <w:t xml:space="preserve"> – věci materiální povahy</w:t>
      </w:r>
    </w:p>
    <w:p w:rsidR="00961DB1" w:rsidRPr="00961DB1" w:rsidRDefault="00961DB1" w:rsidP="009B1CEA">
      <w:pPr>
        <w:pStyle w:val="Odstavecseseznamem"/>
        <w:numPr>
          <w:ilvl w:val="0"/>
          <w:numId w:val="9"/>
        </w:numPr>
        <w:ind w:left="993"/>
        <w:rPr>
          <w:sz w:val="20"/>
          <w:szCs w:val="20"/>
        </w:rPr>
      </w:pPr>
      <w:r w:rsidRPr="008D2EA9">
        <w:rPr>
          <w:b/>
          <w:sz w:val="20"/>
          <w:szCs w:val="20"/>
        </w:rPr>
        <w:t>movitý</w:t>
      </w:r>
      <w:r w:rsidRPr="00961DB1">
        <w:rPr>
          <w:sz w:val="20"/>
          <w:szCs w:val="20"/>
        </w:rPr>
        <w:t xml:space="preserve"> – přemístitelný, různé předměty a věci, např. výrobní stroje, automobily, zařízení nebo materiál</w:t>
      </w:r>
    </w:p>
    <w:p w:rsidR="00961DB1" w:rsidRPr="00961DB1" w:rsidRDefault="00961DB1" w:rsidP="009B1CEA">
      <w:pPr>
        <w:pStyle w:val="Odstavecseseznamem"/>
        <w:numPr>
          <w:ilvl w:val="0"/>
          <w:numId w:val="9"/>
        </w:numPr>
        <w:ind w:left="993"/>
        <w:rPr>
          <w:sz w:val="20"/>
          <w:szCs w:val="20"/>
        </w:rPr>
      </w:pPr>
      <w:r w:rsidRPr="008D2EA9">
        <w:rPr>
          <w:b/>
          <w:sz w:val="20"/>
          <w:szCs w:val="20"/>
        </w:rPr>
        <w:t>nemovitý</w:t>
      </w:r>
      <w:r w:rsidRPr="00961DB1">
        <w:rPr>
          <w:sz w:val="20"/>
          <w:szCs w:val="20"/>
        </w:rPr>
        <w:t xml:space="preserve"> – nepřemístitelný, svázaný s půdou, např. pozemky, budovy a</w:t>
      </w:r>
      <w:r w:rsidR="00B93152">
        <w:rPr>
          <w:sz w:val="20"/>
          <w:szCs w:val="20"/>
        </w:rPr>
        <w:t> </w:t>
      </w:r>
      <w:r w:rsidRPr="00961DB1">
        <w:rPr>
          <w:sz w:val="20"/>
          <w:szCs w:val="20"/>
        </w:rPr>
        <w:t>vlastněné prostory</w:t>
      </w:r>
    </w:p>
    <w:p w:rsidR="00961DB1" w:rsidRPr="00961DB1" w:rsidRDefault="008D2EA9" w:rsidP="007A78BE">
      <w:pPr>
        <w:ind w:left="709" w:hanging="283"/>
        <w:rPr>
          <w:sz w:val="20"/>
          <w:szCs w:val="20"/>
        </w:rPr>
      </w:pPr>
      <w:r>
        <w:rPr>
          <w:sz w:val="20"/>
          <w:szCs w:val="20"/>
        </w:rPr>
        <w:t>2.</w:t>
      </w:r>
      <w:r>
        <w:rPr>
          <w:sz w:val="20"/>
          <w:szCs w:val="20"/>
        </w:rPr>
        <w:tab/>
      </w:r>
      <w:r w:rsidR="00961DB1" w:rsidRPr="008D2EA9">
        <w:rPr>
          <w:b/>
          <w:sz w:val="20"/>
          <w:szCs w:val="20"/>
        </w:rPr>
        <w:t>nehmotný</w:t>
      </w:r>
      <w:r w:rsidR="00961DB1" w:rsidRPr="00961DB1">
        <w:rPr>
          <w:sz w:val="20"/>
          <w:szCs w:val="20"/>
        </w:rPr>
        <w:t xml:space="preserve"> – věci duševní povahy, např. patentované technologické postupy (tzv. know-how) nebo duševní vlastnictví chráněné autorským zákonem (autorská práva)</w:t>
      </w:r>
    </w:p>
    <w:p w:rsidR="00961DB1" w:rsidRPr="00961DB1" w:rsidRDefault="00961DB1" w:rsidP="007A78BE">
      <w:pPr>
        <w:ind w:left="709" w:hanging="283"/>
        <w:rPr>
          <w:sz w:val="20"/>
          <w:szCs w:val="20"/>
        </w:rPr>
      </w:pPr>
      <w:r w:rsidRPr="00961DB1">
        <w:rPr>
          <w:sz w:val="20"/>
          <w:szCs w:val="20"/>
        </w:rPr>
        <w:t>3.</w:t>
      </w:r>
      <w:r w:rsidRPr="00961DB1">
        <w:rPr>
          <w:sz w:val="20"/>
          <w:szCs w:val="20"/>
        </w:rPr>
        <w:tab/>
      </w:r>
      <w:r w:rsidRPr="008D2EA9">
        <w:rPr>
          <w:b/>
          <w:sz w:val="20"/>
          <w:szCs w:val="20"/>
        </w:rPr>
        <w:t>finanční</w:t>
      </w:r>
      <w:r w:rsidRPr="00961DB1">
        <w:rPr>
          <w:sz w:val="20"/>
          <w:szCs w:val="20"/>
        </w:rPr>
        <w:t xml:space="preserve"> - tvoří ho peníze a cenné papíry</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Dlouhodobý majetek je majetek, který je používán po dobu delší jednoho roku, postupně se opotřebovává a jehož vstupní cena přesahuje určitou hranici, nespotřebovává se, ale opotřebovává. Během jeho užívání může dojít k technickému zhodnocení (přestavby, rekonstrukce, modernizace), které zvyšuje hodnotu majetku.</w:t>
      </w:r>
    </w:p>
    <w:p w:rsidR="00961DB1" w:rsidRPr="00961DB1" w:rsidRDefault="00961DB1" w:rsidP="00961DB1">
      <w:pPr>
        <w:rPr>
          <w:sz w:val="20"/>
          <w:szCs w:val="20"/>
        </w:rPr>
      </w:pPr>
    </w:p>
    <w:p w:rsidR="00961DB1" w:rsidRPr="008D2EA9" w:rsidRDefault="00961DB1" w:rsidP="00961DB1">
      <w:pPr>
        <w:rPr>
          <w:b/>
          <w:sz w:val="20"/>
          <w:szCs w:val="20"/>
        </w:rPr>
      </w:pPr>
      <w:r w:rsidRPr="008D2EA9">
        <w:rPr>
          <w:b/>
          <w:sz w:val="20"/>
          <w:szCs w:val="20"/>
        </w:rPr>
        <w:t>Druhy dlouhodobého majetku</w:t>
      </w:r>
    </w:p>
    <w:p w:rsidR="00961DB1" w:rsidRPr="00961DB1" w:rsidRDefault="00961DB1" w:rsidP="00961DB1">
      <w:pPr>
        <w:rPr>
          <w:sz w:val="20"/>
          <w:szCs w:val="20"/>
        </w:rPr>
      </w:pPr>
    </w:p>
    <w:p w:rsidR="00961DB1" w:rsidRPr="00961DB1" w:rsidRDefault="00961DB1" w:rsidP="007A78BE">
      <w:pPr>
        <w:ind w:left="709" w:hanging="283"/>
        <w:rPr>
          <w:sz w:val="20"/>
          <w:szCs w:val="20"/>
        </w:rPr>
      </w:pPr>
      <w:r w:rsidRPr="00961DB1">
        <w:rPr>
          <w:sz w:val="20"/>
          <w:szCs w:val="20"/>
        </w:rPr>
        <w:t>a.</w:t>
      </w:r>
      <w:r w:rsidRPr="00961DB1">
        <w:rPr>
          <w:sz w:val="20"/>
          <w:szCs w:val="20"/>
        </w:rPr>
        <w:tab/>
      </w:r>
      <w:r w:rsidRPr="008D2EA9">
        <w:rPr>
          <w:b/>
          <w:sz w:val="20"/>
          <w:szCs w:val="20"/>
        </w:rPr>
        <w:t>hmotný</w:t>
      </w:r>
      <w:r w:rsidRPr="00961DB1">
        <w:rPr>
          <w:sz w:val="20"/>
          <w:szCs w:val="20"/>
        </w:rPr>
        <w:t xml:space="preserve"> - cena musí být vyšší než 40 tis. Kč a doba používání musí být delší než jeden rok, např. stavby, stroje, dopravní prostředky, oblečení, drobný majetek, trvalé porosty (chmelnice, vinice, menší stavení a pole), hospodářská zvířata</w:t>
      </w:r>
    </w:p>
    <w:p w:rsidR="00961DB1" w:rsidRPr="00961DB1" w:rsidRDefault="00961DB1" w:rsidP="007A78BE">
      <w:pPr>
        <w:rPr>
          <w:sz w:val="20"/>
          <w:szCs w:val="20"/>
        </w:rPr>
      </w:pPr>
    </w:p>
    <w:p w:rsidR="00961DB1" w:rsidRPr="00961DB1" w:rsidRDefault="00961DB1" w:rsidP="007A78BE">
      <w:pPr>
        <w:ind w:left="709" w:hanging="283"/>
        <w:rPr>
          <w:sz w:val="20"/>
          <w:szCs w:val="20"/>
        </w:rPr>
      </w:pPr>
      <w:r w:rsidRPr="00961DB1">
        <w:rPr>
          <w:sz w:val="20"/>
          <w:szCs w:val="20"/>
        </w:rPr>
        <w:t>b.</w:t>
      </w:r>
      <w:r w:rsidRPr="00961DB1">
        <w:rPr>
          <w:sz w:val="20"/>
          <w:szCs w:val="20"/>
        </w:rPr>
        <w:tab/>
      </w:r>
      <w:r w:rsidRPr="008D2EA9">
        <w:rPr>
          <w:b/>
          <w:sz w:val="20"/>
          <w:szCs w:val="20"/>
        </w:rPr>
        <w:t>nehmotný</w:t>
      </w:r>
      <w:r w:rsidRPr="00961DB1">
        <w:rPr>
          <w:sz w:val="20"/>
          <w:szCs w:val="20"/>
        </w:rPr>
        <w:t xml:space="preserve"> – cena je vyšší než 60 tis. Kč, jeho doba používání je delší než jeden rok, např. licence, software, obchodní značka</w:t>
      </w:r>
    </w:p>
    <w:p w:rsidR="00961DB1" w:rsidRPr="00961DB1" w:rsidRDefault="00961DB1" w:rsidP="007A78BE">
      <w:pPr>
        <w:rPr>
          <w:sz w:val="20"/>
          <w:szCs w:val="20"/>
        </w:rPr>
      </w:pPr>
    </w:p>
    <w:p w:rsidR="00961DB1" w:rsidRDefault="00961DB1" w:rsidP="007A78BE">
      <w:pPr>
        <w:ind w:left="709" w:hanging="283"/>
        <w:rPr>
          <w:sz w:val="20"/>
          <w:szCs w:val="20"/>
        </w:rPr>
      </w:pPr>
      <w:r w:rsidRPr="00961DB1">
        <w:rPr>
          <w:sz w:val="20"/>
          <w:szCs w:val="20"/>
        </w:rPr>
        <w:t>c.</w:t>
      </w:r>
      <w:r w:rsidRPr="00961DB1">
        <w:rPr>
          <w:sz w:val="20"/>
          <w:szCs w:val="20"/>
        </w:rPr>
        <w:tab/>
      </w:r>
      <w:r w:rsidRPr="008D2EA9">
        <w:rPr>
          <w:b/>
          <w:sz w:val="20"/>
          <w:szCs w:val="20"/>
        </w:rPr>
        <w:t>finanční</w:t>
      </w:r>
      <w:r w:rsidRPr="00961DB1">
        <w:rPr>
          <w:sz w:val="20"/>
          <w:szCs w:val="20"/>
        </w:rPr>
        <w:t xml:space="preserve"> - neodepisuje se, nemá stanovenou minimální cenu, doba používání musí být delší jednoho roku, obec ho nakupuje za účelem obchodování nebo dlouhodobé uložení peněz a očekávaného výnosu, např. investiční cenné papíry, dlouhodobé půjčky, nemovitosti a umělecká díla vlastněná za účelem obchodování s nimi.</w:t>
      </w:r>
    </w:p>
    <w:p w:rsidR="008D2EA9" w:rsidRPr="00961DB1" w:rsidRDefault="008D2EA9" w:rsidP="008D2EA9">
      <w:pPr>
        <w:ind w:firstLine="709"/>
        <w:rPr>
          <w:sz w:val="20"/>
          <w:szCs w:val="20"/>
        </w:rPr>
      </w:pPr>
    </w:p>
    <w:p w:rsidR="00961DB1" w:rsidRPr="007A78BE" w:rsidRDefault="00961DB1" w:rsidP="009B1CEA">
      <w:pPr>
        <w:pStyle w:val="AQE1"/>
        <w:numPr>
          <w:ilvl w:val="0"/>
          <w:numId w:val="6"/>
        </w:numPr>
        <w:rPr>
          <w:sz w:val="28"/>
          <w:szCs w:val="28"/>
          <w:lang w:val="cs-CZ"/>
        </w:rPr>
      </w:pPr>
      <w:bookmarkStart w:id="12" w:name="_Toc34910881"/>
      <w:r w:rsidRPr="007A78BE">
        <w:rPr>
          <w:sz w:val="28"/>
          <w:szCs w:val="28"/>
          <w:lang w:val="cs-CZ"/>
        </w:rPr>
        <w:lastRenderedPageBreak/>
        <w:t>Hospodaření s majetkem obce</w:t>
      </w:r>
      <w:bookmarkEnd w:id="12"/>
    </w:p>
    <w:p w:rsidR="00961DB1" w:rsidRPr="00961DB1" w:rsidRDefault="00961DB1" w:rsidP="00961DB1">
      <w:pPr>
        <w:rPr>
          <w:sz w:val="20"/>
          <w:szCs w:val="20"/>
        </w:rPr>
      </w:pPr>
      <w:r w:rsidRPr="00961DB1">
        <w:rPr>
          <w:sz w:val="20"/>
          <w:szCs w:val="20"/>
        </w:rPr>
        <w:t>Obec může majetek prodávat a kupovat, směňovat či pronajímat, ale nemělo by se tak dít bezhlavě a neuváženě, naopak obec by měla promyšleným hospodařením zabezpečit svůj všestranný rozvoj.</w:t>
      </w:r>
    </w:p>
    <w:p w:rsidR="00961DB1" w:rsidRPr="00961DB1" w:rsidRDefault="00961DB1" w:rsidP="00961DB1">
      <w:pPr>
        <w:rPr>
          <w:sz w:val="20"/>
          <w:szCs w:val="20"/>
        </w:rPr>
      </w:pPr>
      <w:r w:rsidRPr="00961DB1">
        <w:rPr>
          <w:sz w:val="20"/>
          <w:szCs w:val="20"/>
        </w:rPr>
        <w:t>Hospodaření s obecním majetkem znamená zejména údržbu, užívání a nakládání s</w:t>
      </w:r>
      <w:r w:rsidR="00B93152">
        <w:rPr>
          <w:sz w:val="20"/>
          <w:szCs w:val="20"/>
        </w:rPr>
        <w:t> </w:t>
      </w:r>
      <w:r w:rsidRPr="00961DB1">
        <w:rPr>
          <w:sz w:val="20"/>
          <w:szCs w:val="20"/>
        </w:rPr>
        <w:t>majetkem obce. Dále sem spadá i řešení právních dispozic (např. skutečnost, že obec může přenechat svůj majetek do užívání jiným subjektům, kupříkladu jí zřízeným příspěvkovým organizacím).</w:t>
      </w:r>
    </w:p>
    <w:p w:rsidR="00961DB1" w:rsidRPr="00961DB1" w:rsidRDefault="00961DB1" w:rsidP="00961DB1">
      <w:pPr>
        <w:rPr>
          <w:sz w:val="20"/>
          <w:szCs w:val="20"/>
        </w:rPr>
      </w:pPr>
      <w:r w:rsidRPr="00961DB1">
        <w:rPr>
          <w:sz w:val="20"/>
          <w:szCs w:val="20"/>
        </w:rPr>
        <w:t>V souvislosti s pojmem hospodařením s majetkem obce je vhodné rozdělit si obecní majetek z hlediska jeho využití do několika oblastí:</w:t>
      </w:r>
    </w:p>
    <w:p w:rsidR="00961DB1" w:rsidRPr="00961DB1" w:rsidRDefault="00961DB1" w:rsidP="009B1CEA">
      <w:pPr>
        <w:pStyle w:val="Odstavecseseznamem"/>
        <w:numPr>
          <w:ilvl w:val="0"/>
          <w:numId w:val="9"/>
        </w:numPr>
        <w:ind w:left="993"/>
        <w:rPr>
          <w:sz w:val="20"/>
          <w:szCs w:val="20"/>
        </w:rPr>
      </w:pPr>
      <w:r w:rsidRPr="008D2EA9">
        <w:rPr>
          <w:b/>
          <w:sz w:val="20"/>
          <w:szCs w:val="20"/>
        </w:rPr>
        <w:t>kmenový majetek</w:t>
      </w:r>
      <w:r w:rsidRPr="00961DB1">
        <w:rPr>
          <w:sz w:val="20"/>
          <w:szCs w:val="20"/>
        </w:rPr>
        <w:t>, který slouží k výkonu správních funkcí obce (např. budovy úřadu, ostatní správní budovy),</w:t>
      </w:r>
    </w:p>
    <w:p w:rsidR="00961DB1" w:rsidRPr="00961DB1" w:rsidRDefault="00961DB1" w:rsidP="009B1CEA">
      <w:pPr>
        <w:pStyle w:val="Odstavecseseznamem"/>
        <w:numPr>
          <w:ilvl w:val="0"/>
          <w:numId w:val="9"/>
        </w:numPr>
        <w:ind w:left="993"/>
        <w:rPr>
          <w:sz w:val="20"/>
          <w:szCs w:val="20"/>
        </w:rPr>
      </w:pPr>
      <w:r w:rsidRPr="008D2EA9">
        <w:rPr>
          <w:b/>
          <w:sz w:val="20"/>
          <w:szCs w:val="20"/>
        </w:rPr>
        <w:t>majetek v sociální a vzdělávací oblasti</w:t>
      </w:r>
      <w:r w:rsidRPr="00961DB1">
        <w:rPr>
          <w:sz w:val="20"/>
          <w:szCs w:val="20"/>
        </w:rPr>
        <w:t xml:space="preserve"> sloužící vybrané skupině obyvatelstva k sociálním a vzdělávacím účelům (např. mateřské a základní školy, domy s pečovatelskou službou, domovy důchodců),</w:t>
      </w:r>
    </w:p>
    <w:p w:rsidR="00961DB1" w:rsidRPr="00961DB1" w:rsidRDefault="00961DB1" w:rsidP="009B1CEA">
      <w:pPr>
        <w:pStyle w:val="Odstavecseseznamem"/>
        <w:numPr>
          <w:ilvl w:val="0"/>
          <w:numId w:val="9"/>
        </w:numPr>
        <w:ind w:left="993"/>
        <w:rPr>
          <w:sz w:val="20"/>
          <w:szCs w:val="20"/>
        </w:rPr>
      </w:pPr>
      <w:r w:rsidRPr="008D2EA9">
        <w:rPr>
          <w:b/>
          <w:sz w:val="20"/>
          <w:szCs w:val="20"/>
        </w:rPr>
        <w:t>majetek ve veřejné oblasti</w:t>
      </w:r>
      <w:r w:rsidRPr="00961DB1">
        <w:rPr>
          <w:sz w:val="20"/>
          <w:szCs w:val="20"/>
        </w:rPr>
        <w:t>, který využívají obyvatelé obce k veřejně prospěšné činnosti (spadá sem podpora veřejné dopravy, likvidace komunálního odpadu, veřejné osvětlení, komunikace, veřejná zeleň, hřbitovy, krematoria apod.),</w:t>
      </w:r>
    </w:p>
    <w:p w:rsidR="00961DB1" w:rsidRPr="00961DB1" w:rsidRDefault="00961DB1" w:rsidP="009B1CEA">
      <w:pPr>
        <w:pStyle w:val="Odstavecseseznamem"/>
        <w:numPr>
          <w:ilvl w:val="0"/>
          <w:numId w:val="9"/>
        </w:numPr>
        <w:ind w:left="993"/>
        <w:rPr>
          <w:sz w:val="20"/>
          <w:szCs w:val="20"/>
        </w:rPr>
      </w:pPr>
      <w:r w:rsidRPr="008D2EA9">
        <w:rPr>
          <w:b/>
          <w:sz w:val="20"/>
          <w:szCs w:val="20"/>
        </w:rPr>
        <w:t>majetek v zájmové oblasti</w:t>
      </w:r>
      <w:r w:rsidRPr="00961DB1">
        <w:rPr>
          <w:sz w:val="20"/>
          <w:szCs w:val="20"/>
        </w:rPr>
        <w:t>, který slouží vybrané části obyvatel a má mnohdy nezastupitelnou funkci ve společenském životě obce (sportovní zařízení, kulturní zařízení včetně divadel, kin apod.),</w:t>
      </w:r>
    </w:p>
    <w:p w:rsidR="00961DB1" w:rsidRPr="00961DB1" w:rsidRDefault="00961DB1" w:rsidP="009B1CEA">
      <w:pPr>
        <w:pStyle w:val="Odstavecseseznamem"/>
        <w:numPr>
          <w:ilvl w:val="0"/>
          <w:numId w:val="9"/>
        </w:numPr>
        <w:ind w:left="993"/>
        <w:rPr>
          <w:sz w:val="20"/>
          <w:szCs w:val="20"/>
        </w:rPr>
      </w:pPr>
      <w:r w:rsidRPr="008D2EA9">
        <w:rPr>
          <w:b/>
          <w:sz w:val="20"/>
          <w:szCs w:val="20"/>
        </w:rPr>
        <w:t>majetek ostatní, komerční</w:t>
      </w:r>
      <w:r w:rsidRPr="00961DB1">
        <w:rPr>
          <w:sz w:val="20"/>
          <w:szCs w:val="20"/>
        </w:rPr>
        <w:t>, který využívá určitá část obyvatelstva (mnohdy významná) obce a dokáže být na rozpočtu obce nezávislý (např. dodávky tepla, vodovody, kanalizace),</w:t>
      </w:r>
    </w:p>
    <w:p w:rsidR="00961DB1" w:rsidRPr="00961DB1" w:rsidRDefault="00961DB1" w:rsidP="009B1CEA">
      <w:pPr>
        <w:pStyle w:val="Odstavecseseznamem"/>
        <w:numPr>
          <w:ilvl w:val="0"/>
          <w:numId w:val="9"/>
        </w:numPr>
        <w:ind w:left="993"/>
        <w:rPr>
          <w:sz w:val="20"/>
          <w:szCs w:val="20"/>
        </w:rPr>
      </w:pPr>
      <w:r w:rsidRPr="008D2EA9">
        <w:rPr>
          <w:b/>
          <w:sz w:val="20"/>
          <w:szCs w:val="20"/>
        </w:rPr>
        <w:t>majetek přebytečný, neupotřebitelný</w:t>
      </w:r>
      <w:r w:rsidRPr="00961DB1">
        <w:rPr>
          <w:sz w:val="20"/>
          <w:szCs w:val="20"/>
        </w:rPr>
        <w:t>, primárně se jedná o majetek neužívaný, ve špatném stavu a nepotřebný.</w:t>
      </w:r>
    </w:p>
    <w:p w:rsidR="00961DB1" w:rsidRPr="00961DB1" w:rsidRDefault="00961DB1" w:rsidP="00961DB1">
      <w:pPr>
        <w:rPr>
          <w:sz w:val="20"/>
          <w:szCs w:val="20"/>
        </w:rPr>
      </w:pPr>
    </w:p>
    <w:p w:rsidR="00961DB1" w:rsidRDefault="00961DB1" w:rsidP="00961DB1">
      <w:pPr>
        <w:rPr>
          <w:sz w:val="20"/>
          <w:szCs w:val="20"/>
        </w:rPr>
      </w:pPr>
      <w:r w:rsidRPr="00961DB1">
        <w:rPr>
          <w:sz w:val="20"/>
          <w:szCs w:val="20"/>
        </w:rPr>
        <w:t>Tato majetková rozmanitost vede k závěru, že je pro každou obec nutné mít dobrou koncepci využití jejího majetku a nakládání s ním. Podkladem pro takovouto koncepci je nutná nejen inventarizace majetku podle výše uvedeného nebo jiného podobného přehledu, ale samozřejmě také územní plán obce a dlouhodobý rozvojový nebo strategický plán obce, který by měl určit její základní rozvoj s výhledem na 10 až 15 let. Při zpracování koncepce využití majetku obce je dále nutné vzít v úvahu zvyklosti, tradice a způsob života obyvatel dané obce. V souladu s cíli koncepce by pak měli postupovat pověření zástupci obce v případě prodeje, koupě, směny a pronájmu obecního majetku a</w:t>
      </w:r>
      <w:r w:rsidR="00B93152">
        <w:rPr>
          <w:sz w:val="20"/>
          <w:szCs w:val="20"/>
        </w:rPr>
        <w:t> </w:t>
      </w:r>
      <w:r w:rsidRPr="00961DB1">
        <w:rPr>
          <w:sz w:val="20"/>
          <w:szCs w:val="20"/>
        </w:rPr>
        <w:t>hospodaření s ním.</w:t>
      </w:r>
    </w:p>
    <w:p w:rsidR="008D2EA9" w:rsidRPr="00961DB1" w:rsidRDefault="008D2EA9" w:rsidP="00961DB1">
      <w:pPr>
        <w:rPr>
          <w:sz w:val="20"/>
          <w:szCs w:val="20"/>
        </w:rPr>
      </w:pPr>
    </w:p>
    <w:p w:rsidR="00961DB1" w:rsidRPr="007A78BE" w:rsidRDefault="00961DB1" w:rsidP="007A78BE">
      <w:pPr>
        <w:pStyle w:val="Nadpis2"/>
        <w:numPr>
          <w:ilvl w:val="1"/>
          <w:numId w:val="1"/>
        </w:numPr>
        <w:pBdr>
          <w:bottom w:val="none" w:sz="0" w:space="0" w:color="auto"/>
        </w:pBdr>
        <w:rPr>
          <w:b/>
          <w:bCs w:val="0"/>
          <w:color w:val="404040" w:themeColor="text1" w:themeTint="BF"/>
          <w:sz w:val="22"/>
          <w:szCs w:val="22"/>
        </w:rPr>
      </w:pPr>
      <w:bookmarkStart w:id="13" w:name="_Toc34910882"/>
      <w:r w:rsidRPr="007A78BE">
        <w:rPr>
          <w:b/>
          <w:bCs w:val="0"/>
          <w:color w:val="404040" w:themeColor="text1" w:themeTint="BF"/>
          <w:sz w:val="22"/>
          <w:szCs w:val="22"/>
        </w:rPr>
        <w:t>OBECNÉ ZÁSADY HOSPODAŘENÍ S OBECNÍM MAJETKEM</w:t>
      </w:r>
      <w:bookmarkEnd w:id="13"/>
    </w:p>
    <w:p w:rsidR="00961DB1" w:rsidRPr="00961DB1" w:rsidRDefault="00961DB1" w:rsidP="00961DB1">
      <w:pPr>
        <w:rPr>
          <w:sz w:val="20"/>
          <w:szCs w:val="20"/>
        </w:rPr>
      </w:pPr>
      <w:r w:rsidRPr="00961DB1">
        <w:rPr>
          <w:sz w:val="20"/>
          <w:szCs w:val="20"/>
        </w:rPr>
        <w:t>Současná problematika hospodaření s majetkem územních samosprávných celků je obsažena především v některých ustanoveních zákona o obcích (zákon č.128/2000 Sb.) a</w:t>
      </w:r>
      <w:r w:rsidR="00B93152">
        <w:rPr>
          <w:sz w:val="20"/>
          <w:szCs w:val="20"/>
        </w:rPr>
        <w:t> </w:t>
      </w:r>
      <w:r w:rsidRPr="00961DB1">
        <w:rPr>
          <w:sz w:val="20"/>
          <w:szCs w:val="20"/>
        </w:rPr>
        <w:t>zákona o rozpočtových pravidlech územních rozpočtů (zákon č. 250/2000 Sb.).</w:t>
      </w:r>
    </w:p>
    <w:p w:rsidR="00961DB1" w:rsidRPr="007A78BE" w:rsidRDefault="00961DB1" w:rsidP="00016675">
      <w:pPr>
        <w:pStyle w:val="Odstavecseseznamem"/>
        <w:numPr>
          <w:ilvl w:val="0"/>
          <w:numId w:val="10"/>
        </w:numPr>
        <w:ind w:left="284" w:hanging="284"/>
        <w:rPr>
          <w:sz w:val="20"/>
          <w:szCs w:val="20"/>
        </w:rPr>
      </w:pPr>
      <w:r w:rsidRPr="007A78BE">
        <w:rPr>
          <w:sz w:val="20"/>
          <w:szCs w:val="20"/>
        </w:rPr>
        <w:t>Majetek obce musí být vždy využíván účelně a hospodárně v souladu s jejími zájmy a</w:t>
      </w:r>
      <w:r w:rsidR="00B93152">
        <w:rPr>
          <w:sz w:val="20"/>
          <w:szCs w:val="20"/>
        </w:rPr>
        <w:t> </w:t>
      </w:r>
      <w:r w:rsidRPr="007A78BE">
        <w:rPr>
          <w:sz w:val="20"/>
          <w:szCs w:val="20"/>
        </w:rPr>
        <w:t>úkoly vyplývajícími ze zákonem vymezené působnosti</w:t>
      </w:r>
    </w:p>
    <w:p w:rsidR="00961DB1" w:rsidRPr="00961DB1" w:rsidRDefault="00961DB1" w:rsidP="00016675">
      <w:pPr>
        <w:ind w:left="284"/>
        <w:rPr>
          <w:sz w:val="20"/>
          <w:szCs w:val="20"/>
        </w:rPr>
      </w:pPr>
      <w:r w:rsidRPr="00961DB1">
        <w:rPr>
          <w:sz w:val="20"/>
          <w:szCs w:val="20"/>
        </w:rPr>
        <w:t xml:space="preserve">Tato zásada se týká jak hmotného, tak nehmotného majetku a je zásadou nejdůležitější, klíčovou. Největší význam má pro věci hmotné povahy. Základem je věci držet, mít právo s nimi nakládat a užívat je. Z toho pak vyplývá možnost majetek používat. Způsob a rozsah jeho používání je ale limitován účelností a hospodárností, </w:t>
      </w:r>
      <w:r w:rsidRPr="00961DB1">
        <w:rPr>
          <w:sz w:val="20"/>
          <w:szCs w:val="20"/>
        </w:rPr>
        <w:lastRenderedPageBreak/>
        <w:t>se kterými musí obec majetek využívat, dále také plněním úkolů, které jsou vymezeny její působností.</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je povinna pečovat o zachování a rozvoj svého majetku</w:t>
      </w:r>
    </w:p>
    <w:p w:rsidR="00961DB1" w:rsidRPr="00961DB1" w:rsidRDefault="00961DB1" w:rsidP="00016675">
      <w:pPr>
        <w:ind w:left="284"/>
        <w:rPr>
          <w:sz w:val="20"/>
          <w:szCs w:val="20"/>
        </w:rPr>
      </w:pPr>
      <w:r w:rsidRPr="00961DB1">
        <w:rPr>
          <w:sz w:val="20"/>
          <w:szCs w:val="20"/>
        </w:rPr>
        <w:t>Majetek obce musí být chráněn před zničením, poškozením, odcizením nebo zneužitím. Snahou obce by mělo být zachovat majetek ve stávající podobě, pokud to jeho povaha dovoluje, případně jej zkvalitnit či rozšířit. Hmotný majetek obce by pak měl být řádně udržován, opravován a fyzicky chráněn, aby byl způsobilý sloužit svému účelu.</w:t>
      </w:r>
    </w:p>
    <w:p w:rsidR="00961DB1" w:rsidRPr="00961DB1" w:rsidRDefault="00961DB1" w:rsidP="00016675">
      <w:pPr>
        <w:ind w:left="284"/>
        <w:rPr>
          <w:sz w:val="20"/>
          <w:szCs w:val="20"/>
        </w:rPr>
      </w:pPr>
      <w:r w:rsidRPr="00961DB1">
        <w:rPr>
          <w:sz w:val="20"/>
          <w:szCs w:val="20"/>
        </w:rPr>
        <w:t>Údržba hmotného majetku v sobě zahrnuje průběžné či pravidelné ošetřování s cílem zpomalit fyzické opotřebení dané věci. Jedná se o aktivity typu kontroly, čištění, seřizování apod. Běžnou údržbu hmotného majetku zajišťují pracovníci obecního úřadu, jsou-li vyžadovány odborné znalosti je nutno svěřit odpovědnost specializované osobě, se kterou obec většinou uzavírá smlouvu o dílo.</w:t>
      </w:r>
    </w:p>
    <w:p w:rsidR="00961DB1" w:rsidRPr="00961DB1" w:rsidRDefault="00961DB1" w:rsidP="00016675">
      <w:pPr>
        <w:ind w:left="284"/>
        <w:rPr>
          <w:sz w:val="20"/>
          <w:szCs w:val="20"/>
        </w:rPr>
      </w:pPr>
      <w:r w:rsidRPr="00961DB1">
        <w:rPr>
          <w:sz w:val="20"/>
          <w:szCs w:val="20"/>
        </w:rPr>
        <w:t>Na rozdíl od údržby majetku není pro jeho opravy a úpravy typická pravidelnost. Patří mezi ně např. činnosti typu modernizace či rekonstrukce, v obou případech dochází ke zvyšování užitné hodnoty dané věci. Rekonstrukcí se obvykle rozumí určitý cílený zásah do konstrukce nebo technologické části věci, který vede k žádoucí změně technických parametrů věci, potažmo někdy i ke změně její funkce a účelu. Modernizace se pak chápe jako taková úprava věci, která směřuje ke zdokonalení věci. To znamená, že především zlepšuje vybavení věci, a tudíž její funkčnost.</w:t>
      </w:r>
    </w:p>
    <w:p w:rsidR="00961DB1" w:rsidRPr="00961DB1" w:rsidRDefault="00961DB1" w:rsidP="00016675">
      <w:pPr>
        <w:ind w:left="284"/>
        <w:rPr>
          <w:sz w:val="20"/>
          <w:szCs w:val="20"/>
        </w:rPr>
      </w:pPr>
      <w:r w:rsidRPr="00961DB1">
        <w:rPr>
          <w:sz w:val="20"/>
          <w:szCs w:val="20"/>
        </w:rPr>
        <w:t>Obec by měla také aktivně chránit svůj majetek před znehodnocením, zneužitím nebo jeho ztrátě. Předpokladem je řádná evidence majetku včetně provádění inventarizací, řádné uložení věci, ochrana před nepříznivými vlivy a v neposlední řadě také vymezení práv a povinností osob, které jsou oprávněny s tímto majetkem hospodařit. Do fyzické ochrany majetku patří také pojištění, které má především funkci preventivní. Zákon ovšem obci neukládá povinnost si jej uzavřít.</w:t>
      </w:r>
    </w:p>
    <w:p w:rsidR="00961DB1" w:rsidRPr="00961DB1" w:rsidRDefault="00961DB1" w:rsidP="00016675">
      <w:pPr>
        <w:ind w:left="284"/>
        <w:rPr>
          <w:sz w:val="20"/>
          <w:szCs w:val="20"/>
        </w:rPr>
      </w:pPr>
      <w:r w:rsidRPr="00961DB1">
        <w:rPr>
          <w:sz w:val="20"/>
          <w:szCs w:val="20"/>
        </w:rPr>
        <w:t>S nepotřebným majetkem obec naloží způsoby a za podmínek stanovených zvláštními předpisy.</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je povinna chránit svůj majetek před neoprávněnými zásahy a včas uplatňovat právo na náhradu škody a právo na vydání bezdůvodného obohacení</w:t>
      </w:r>
    </w:p>
    <w:p w:rsidR="00961DB1" w:rsidRPr="00961DB1" w:rsidRDefault="00961DB1" w:rsidP="00016675">
      <w:pPr>
        <w:ind w:left="284"/>
        <w:rPr>
          <w:sz w:val="20"/>
          <w:szCs w:val="20"/>
        </w:rPr>
      </w:pPr>
      <w:r w:rsidRPr="00961DB1">
        <w:rPr>
          <w:sz w:val="20"/>
          <w:szCs w:val="20"/>
        </w:rPr>
        <w:t>Obec je oprávněna dožadovat se ochrany proti tomu, kdo neoprávněně zasahuje do vlastnického práva obce. Dále má obec v této souvislosti právo požadovat vydání věci, která je ve vlastnictví obce, pokud ji někdo neoprávněně zadržuje. Jako příklad můžeme uvést situaci, kdy příspěvková organizace obce nebo jiná právnická či fyzická osoba, která nespadá do sféry vlastnictví obce, neoprávněně zasáhne do majetku obce a to tím, že si nárokuje více majetkových práv k tomuto majetku, než jí bylo vymezeno.</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vede evidenci svého majetku</w:t>
      </w:r>
    </w:p>
    <w:p w:rsidR="00961DB1" w:rsidRPr="00961DB1" w:rsidRDefault="00961DB1" w:rsidP="00016675">
      <w:pPr>
        <w:ind w:left="284"/>
        <w:rPr>
          <w:sz w:val="20"/>
          <w:szCs w:val="20"/>
        </w:rPr>
      </w:pPr>
      <w:r w:rsidRPr="00961DB1">
        <w:rPr>
          <w:sz w:val="20"/>
          <w:szCs w:val="20"/>
        </w:rPr>
        <w:t>Tato povinnost ukládá obci, aby evidovala svůj majetek v účetnictví. Klíčový význam v</w:t>
      </w:r>
      <w:r w:rsidR="00B93152">
        <w:rPr>
          <w:sz w:val="20"/>
          <w:szCs w:val="20"/>
        </w:rPr>
        <w:t> </w:t>
      </w:r>
      <w:r w:rsidRPr="00961DB1">
        <w:rPr>
          <w:sz w:val="20"/>
          <w:szCs w:val="20"/>
        </w:rPr>
        <w:t>této oblasti má zákon o účetnictví.</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má povinnost provádět inventarizaci</w:t>
      </w:r>
    </w:p>
    <w:p w:rsidR="00961DB1" w:rsidRPr="00961DB1" w:rsidRDefault="00961DB1" w:rsidP="00016675">
      <w:pPr>
        <w:ind w:left="284"/>
        <w:rPr>
          <w:sz w:val="20"/>
          <w:szCs w:val="20"/>
        </w:rPr>
      </w:pPr>
      <w:r w:rsidRPr="00961DB1">
        <w:rPr>
          <w:sz w:val="20"/>
          <w:szCs w:val="20"/>
        </w:rPr>
        <w:t>Inventarizace znamená posouzení a porovnání skutečného stavu majetku, závazků a</w:t>
      </w:r>
      <w:r w:rsidR="00B93152">
        <w:rPr>
          <w:sz w:val="20"/>
          <w:szCs w:val="20"/>
        </w:rPr>
        <w:t> </w:t>
      </w:r>
      <w:r w:rsidRPr="00961DB1">
        <w:rPr>
          <w:sz w:val="20"/>
          <w:szCs w:val="20"/>
        </w:rPr>
        <w:t>jejich zdrojů, se stavem účetním. Obec sice vede evidenci majetku z účetního hlediska, je třeba ale zjišťovat, zda majetek, se kterým obec či příspěvková organizace hospodaří, a který je vedený v účetnictví, odpovídá realitě. Inventarizaci můžeme rozdělit do tří fází. V první fázi se zjišťuje skutečný stav majetku a závazků v rámci fyzické nebo dokladové inventury, v druhé fázi se porovnává skutečný stav se stavem evidenčním vedeným v účetnictví a zjišťují se inventarizační rozdíly. V rámci třetí fáze se provádí vypořádání inventarizačních rozdílů.</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je povinna nechat evidovat nemovitý majetek v katastru nemovitosti</w:t>
      </w:r>
    </w:p>
    <w:p w:rsidR="00961DB1" w:rsidRPr="00961DB1" w:rsidRDefault="00961DB1" w:rsidP="00016675">
      <w:pPr>
        <w:ind w:left="284"/>
        <w:rPr>
          <w:sz w:val="20"/>
          <w:szCs w:val="20"/>
        </w:rPr>
      </w:pPr>
      <w:r w:rsidRPr="00961DB1">
        <w:rPr>
          <w:sz w:val="20"/>
          <w:szCs w:val="20"/>
        </w:rPr>
        <w:t>Veškerý nemovitý majetek, který obec vlastní, musí být evidovaný v katastru nemovitostí.</w:t>
      </w:r>
    </w:p>
    <w:p w:rsidR="00961DB1" w:rsidRPr="00961DB1" w:rsidRDefault="00961DB1" w:rsidP="00961DB1">
      <w:pPr>
        <w:rPr>
          <w:sz w:val="20"/>
          <w:szCs w:val="20"/>
        </w:rPr>
      </w:pPr>
    </w:p>
    <w:p w:rsidR="00961DB1" w:rsidRPr="00AA1BEF" w:rsidRDefault="00961DB1" w:rsidP="00AA1BEF">
      <w:pPr>
        <w:pStyle w:val="Nadpis2"/>
        <w:numPr>
          <w:ilvl w:val="1"/>
          <w:numId w:val="1"/>
        </w:numPr>
        <w:pBdr>
          <w:bottom w:val="none" w:sz="0" w:space="0" w:color="auto"/>
        </w:pBdr>
        <w:rPr>
          <w:b/>
          <w:bCs w:val="0"/>
          <w:color w:val="404040" w:themeColor="text1" w:themeTint="BF"/>
          <w:sz w:val="22"/>
          <w:szCs w:val="22"/>
        </w:rPr>
      </w:pPr>
      <w:bookmarkStart w:id="14" w:name="_Toc34910883"/>
      <w:r w:rsidRPr="00AA1BEF">
        <w:rPr>
          <w:b/>
          <w:bCs w:val="0"/>
          <w:color w:val="404040" w:themeColor="text1" w:themeTint="BF"/>
          <w:sz w:val="22"/>
          <w:szCs w:val="22"/>
        </w:rPr>
        <w:lastRenderedPageBreak/>
        <w:t>KATEGORIZACE NEMOVITOSTÍ</w:t>
      </w:r>
      <w:bookmarkEnd w:id="14"/>
    </w:p>
    <w:p w:rsidR="00961DB1" w:rsidRPr="00961DB1" w:rsidRDefault="00961DB1" w:rsidP="00961DB1">
      <w:pPr>
        <w:rPr>
          <w:sz w:val="20"/>
          <w:szCs w:val="20"/>
        </w:rPr>
      </w:pPr>
      <w:r w:rsidRPr="00961DB1">
        <w:rPr>
          <w:sz w:val="20"/>
          <w:szCs w:val="20"/>
        </w:rPr>
        <w:t>Kategorizaci nemovitostí je možné uvažovat z několika pohledů. Za výchozí lze považovat kategorie dané zákonem „o dani z nemovitostí“ (zákon 338/1992 Sb. v současném znění), který primárně dělí nemovitosti na:</w:t>
      </w:r>
    </w:p>
    <w:p w:rsidR="00961DB1" w:rsidRPr="007A78BE" w:rsidRDefault="00961DB1" w:rsidP="00AA1BEF">
      <w:pPr>
        <w:ind w:left="567"/>
        <w:rPr>
          <w:b/>
          <w:sz w:val="20"/>
          <w:szCs w:val="20"/>
        </w:rPr>
      </w:pPr>
      <w:r w:rsidRPr="00961DB1">
        <w:rPr>
          <w:sz w:val="20"/>
          <w:szCs w:val="20"/>
        </w:rPr>
        <w:t>-</w:t>
      </w:r>
      <w:r w:rsidRPr="00961DB1">
        <w:rPr>
          <w:sz w:val="20"/>
          <w:szCs w:val="20"/>
        </w:rPr>
        <w:tab/>
      </w:r>
      <w:r w:rsidRPr="007A78BE">
        <w:rPr>
          <w:b/>
          <w:sz w:val="20"/>
          <w:szCs w:val="20"/>
        </w:rPr>
        <w:t>Pozemky</w:t>
      </w:r>
    </w:p>
    <w:p w:rsidR="00961DB1" w:rsidRPr="007A78BE" w:rsidRDefault="00961DB1" w:rsidP="00AA1BEF">
      <w:pPr>
        <w:ind w:left="567"/>
        <w:rPr>
          <w:b/>
          <w:sz w:val="20"/>
          <w:szCs w:val="20"/>
        </w:rPr>
      </w:pPr>
      <w:r w:rsidRPr="007A78BE">
        <w:rPr>
          <w:b/>
          <w:sz w:val="20"/>
          <w:szCs w:val="20"/>
        </w:rPr>
        <w:t>-</w:t>
      </w:r>
      <w:r w:rsidRPr="007A78BE">
        <w:rPr>
          <w:b/>
          <w:sz w:val="20"/>
          <w:szCs w:val="20"/>
        </w:rPr>
        <w:tab/>
        <w:t>Stavby a jednotky</w:t>
      </w:r>
    </w:p>
    <w:p w:rsidR="00961DB1" w:rsidRPr="00961DB1" w:rsidRDefault="00961DB1" w:rsidP="00961DB1">
      <w:pPr>
        <w:rPr>
          <w:sz w:val="20"/>
          <w:szCs w:val="20"/>
        </w:rPr>
      </w:pPr>
      <w:r w:rsidRPr="00961DB1">
        <w:rPr>
          <w:sz w:val="20"/>
          <w:szCs w:val="20"/>
        </w:rPr>
        <w:t>Sekundární dělení těchto dvou kategorií je následující:</w:t>
      </w:r>
    </w:p>
    <w:p w:rsidR="00961DB1" w:rsidRPr="00961DB1" w:rsidRDefault="00961DB1" w:rsidP="00961DB1">
      <w:pPr>
        <w:rPr>
          <w:sz w:val="20"/>
          <w:szCs w:val="20"/>
        </w:rPr>
      </w:pPr>
      <w:r w:rsidRPr="007A78BE">
        <w:rPr>
          <w:b/>
          <w:sz w:val="20"/>
          <w:szCs w:val="20"/>
        </w:rPr>
        <w:t>Pozemky</w:t>
      </w:r>
      <w:r w:rsidRPr="00961DB1">
        <w:rPr>
          <w:sz w:val="20"/>
          <w:szCs w:val="20"/>
        </w:rPr>
        <w:t xml:space="preserve"> mají tyto kategorie:</w:t>
      </w:r>
    </w:p>
    <w:p w:rsidR="00961DB1" w:rsidRPr="00961DB1" w:rsidRDefault="00961DB1" w:rsidP="00AA1BEF">
      <w:pPr>
        <w:ind w:left="567"/>
        <w:rPr>
          <w:sz w:val="20"/>
          <w:szCs w:val="20"/>
        </w:rPr>
      </w:pPr>
      <w:r w:rsidRPr="00961DB1">
        <w:rPr>
          <w:sz w:val="20"/>
          <w:szCs w:val="20"/>
        </w:rPr>
        <w:t>-</w:t>
      </w:r>
      <w:r w:rsidRPr="00961DB1">
        <w:rPr>
          <w:sz w:val="20"/>
          <w:szCs w:val="20"/>
        </w:rPr>
        <w:tab/>
        <w:t>orná půda, chmelnice, vinice, zahrada, ovocný sad</w:t>
      </w:r>
    </w:p>
    <w:p w:rsidR="00961DB1" w:rsidRPr="00961DB1" w:rsidRDefault="00961DB1" w:rsidP="00AA1BEF">
      <w:pPr>
        <w:ind w:left="567"/>
        <w:rPr>
          <w:sz w:val="20"/>
          <w:szCs w:val="20"/>
        </w:rPr>
      </w:pPr>
      <w:r w:rsidRPr="00961DB1">
        <w:rPr>
          <w:sz w:val="20"/>
          <w:szCs w:val="20"/>
        </w:rPr>
        <w:t>-</w:t>
      </w:r>
      <w:r w:rsidRPr="00961DB1">
        <w:rPr>
          <w:sz w:val="20"/>
          <w:szCs w:val="20"/>
        </w:rPr>
        <w:tab/>
        <w:t xml:space="preserve">trvalý travní porost </w:t>
      </w:r>
    </w:p>
    <w:p w:rsidR="00961DB1" w:rsidRPr="00961DB1" w:rsidRDefault="00961DB1" w:rsidP="00AA1BEF">
      <w:pPr>
        <w:ind w:left="567"/>
        <w:rPr>
          <w:sz w:val="20"/>
          <w:szCs w:val="20"/>
        </w:rPr>
      </w:pPr>
      <w:r w:rsidRPr="00961DB1">
        <w:rPr>
          <w:sz w:val="20"/>
          <w:szCs w:val="20"/>
        </w:rPr>
        <w:t>-</w:t>
      </w:r>
      <w:r w:rsidRPr="00961DB1">
        <w:rPr>
          <w:sz w:val="20"/>
          <w:szCs w:val="20"/>
        </w:rPr>
        <w:tab/>
        <w:t>hospodářský les</w:t>
      </w:r>
    </w:p>
    <w:p w:rsidR="00961DB1" w:rsidRPr="00961DB1" w:rsidRDefault="00961DB1" w:rsidP="00AA1BEF">
      <w:pPr>
        <w:ind w:left="567"/>
        <w:rPr>
          <w:sz w:val="20"/>
          <w:szCs w:val="20"/>
        </w:rPr>
      </w:pPr>
      <w:r w:rsidRPr="00961DB1">
        <w:rPr>
          <w:sz w:val="20"/>
          <w:szCs w:val="20"/>
        </w:rPr>
        <w:t>-</w:t>
      </w:r>
      <w:r w:rsidRPr="00961DB1">
        <w:rPr>
          <w:sz w:val="20"/>
          <w:szCs w:val="20"/>
        </w:rPr>
        <w:tab/>
        <w:t>rybník s intenzivním a průmyslovým chovem ryb</w:t>
      </w:r>
    </w:p>
    <w:p w:rsidR="00961DB1" w:rsidRPr="00961DB1" w:rsidRDefault="00961DB1" w:rsidP="00AA1BEF">
      <w:pPr>
        <w:ind w:left="567"/>
        <w:rPr>
          <w:sz w:val="20"/>
          <w:szCs w:val="20"/>
        </w:rPr>
      </w:pPr>
      <w:r w:rsidRPr="00961DB1">
        <w:rPr>
          <w:sz w:val="20"/>
          <w:szCs w:val="20"/>
        </w:rPr>
        <w:t>-</w:t>
      </w:r>
      <w:r w:rsidRPr="00961DB1">
        <w:rPr>
          <w:sz w:val="20"/>
          <w:szCs w:val="20"/>
        </w:rPr>
        <w:tab/>
        <w:t>zastavěná plocha a nádvoří</w:t>
      </w:r>
    </w:p>
    <w:p w:rsidR="00961DB1" w:rsidRPr="00961DB1" w:rsidRDefault="00961DB1" w:rsidP="00AA1BEF">
      <w:pPr>
        <w:ind w:left="567"/>
        <w:rPr>
          <w:sz w:val="20"/>
          <w:szCs w:val="20"/>
        </w:rPr>
      </w:pPr>
      <w:r w:rsidRPr="00961DB1">
        <w:rPr>
          <w:sz w:val="20"/>
          <w:szCs w:val="20"/>
        </w:rPr>
        <w:t>-</w:t>
      </w:r>
      <w:r w:rsidRPr="00961DB1">
        <w:rPr>
          <w:sz w:val="20"/>
          <w:szCs w:val="20"/>
        </w:rPr>
        <w:tab/>
        <w:t>stavební pozemek</w:t>
      </w:r>
    </w:p>
    <w:p w:rsidR="00961DB1" w:rsidRPr="00961DB1" w:rsidRDefault="00961DB1" w:rsidP="00AA1BEF">
      <w:pPr>
        <w:ind w:left="567"/>
        <w:rPr>
          <w:sz w:val="20"/>
          <w:szCs w:val="20"/>
        </w:rPr>
      </w:pPr>
      <w:r w:rsidRPr="00961DB1">
        <w:rPr>
          <w:sz w:val="20"/>
          <w:szCs w:val="20"/>
        </w:rPr>
        <w:t>-</w:t>
      </w:r>
      <w:r w:rsidRPr="00961DB1">
        <w:rPr>
          <w:sz w:val="20"/>
          <w:szCs w:val="20"/>
        </w:rPr>
        <w:tab/>
        <w:t>ostatní plocha</w:t>
      </w:r>
    </w:p>
    <w:p w:rsidR="00961DB1" w:rsidRPr="00961DB1" w:rsidRDefault="00961DB1" w:rsidP="00AA1BEF">
      <w:pPr>
        <w:ind w:left="567"/>
        <w:rPr>
          <w:sz w:val="20"/>
          <w:szCs w:val="20"/>
        </w:rPr>
      </w:pPr>
      <w:r w:rsidRPr="00961DB1">
        <w:rPr>
          <w:sz w:val="20"/>
          <w:szCs w:val="20"/>
        </w:rPr>
        <w:t>-</w:t>
      </w:r>
      <w:r w:rsidRPr="00961DB1">
        <w:rPr>
          <w:sz w:val="20"/>
          <w:szCs w:val="20"/>
        </w:rPr>
        <w:tab/>
        <w:t>zpevněná plocha sloužící pro zemědělskou prvovýrobu, lesní a vodní hospodářství</w:t>
      </w:r>
    </w:p>
    <w:p w:rsidR="00961DB1" w:rsidRPr="00961DB1" w:rsidRDefault="00961DB1" w:rsidP="00AA1BEF">
      <w:pPr>
        <w:ind w:left="709" w:hanging="142"/>
        <w:rPr>
          <w:sz w:val="20"/>
          <w:szCs w:val="20"/>
        </w:rPr>
      </w:pPr>
      <w:r w:rsidRPr="00961DB1">
        <w:rPr>
          <w:sz w:val="20"/>
          <w:szCs w:val="20"/>
        </w:rPr>
        <w:t>-</w:t>
      </w:r>
      <w:r w:rsidRPr="00961DB1">
        <w:rPr>
          <w:sz w:val="20"/>
          <w:szCs w:val="20"/>
        </w:rPr>
        <w:tab/>
        <w:t>zpevněná plocha sloužící pro průmysl, stavebnictví, dopravu, energetiku, ostatní zeměd</w:t>
      </w:r>
      <w:r w:rsidR="00AA1BEF">
        <w:rPr>
          <w:sz w:val="20"/>
          <w:szCs w:val="20"/>
        </w:rPr>
        <w:t>ělskou</w:t>
      </w:r>
      <w:r w:rsidRPr="00961DB1">
        <w:rPr>
          <w:sz w:val="20"/>
          <w:szCs w:val="20"/>
        </w:rPr>
        <w:t xml:space="preserve"> výrobu a ostatní druhy podnikání</w:t>
      </w:r>
    </w:p>
    <w:p w:rsidR="00961DB1" w:rsidRPr="00961DB1" w:rsidRDefault="00961DB1" w:rsidP="00961DB1">
      <w:pPr>
        <w:rPr>
          <w:sz w:val="20"/>
          <w:szCs w:val="20"/>
        </w:rPr>
      </w:pPr>
    </w:p>
    <w:p w:rsidR="00961DB1" w:rsidRPr="00961DB1" w:rsidRDefault="00961DB1" w:rsidP="00961DB1">
      <w:pPr>
        <w:rPr>
          <w:sz w:val="20"/>
          <w:szCs w:val="20"/>
        </w:rPr>
      </w:pPr>
      <w:r w:rsidRPr="007A78BE">
        <w:rPr>
          <w:b/>
          <w:sz w:val="20"/>
          <w:szCs w:val="20"/>
        </w:rPr>
        <w:t>Stavby a jednotky</w:t>
      </w:r>
      <w:r w:rsidRPr="00961DB1">
        <w:rPr>
          <w:sz w:val="20"/>
          <w:szCs w:val="20"/>
        </w:rPr>
        <w:t xml:space="preserve"> se dělí na kategorie:</w:t>
      </w:r>
    </w:p>
    <w:p w:rsidR="00961DB1" w:rsidRPr="00961DB1" w:rsidRDefault="00961DB1" w:rsidP="00AA1BEF">
      <w:pPr>
        <w:ind w:left="567"/>
        <w:rPr>
          <w:sz w:val="20"/>
          <w:szCs w:val="20"/>
        </w:rPr>
      </w:pPr>
      <w:r w:rsidRPr="00961DB1">
        <w:rPr>
          <w:sz w:val="20"/>
          <w:szCs w:val="20"/>
        </w:rPr>
        <w:t>-</w:t>
      </w:r>
      <w:r w:rsidRPr="00961DB1">
        <w:rPr>
          <w:sz w:val="20"/>
          <w:szCs w:val="20"/>
        </w:rPr>
        <w:tab/>
        <w:t>budova obytného domu</w:t>
      </w:r>
    </w:p>
    <w:p w:rsidR="00961DB1" w:rsidRPr="00961DB1" w:rsidRDefault="00961DB1" w:rsidP="00AA1BEF">
      <w:pPr>
        <w:ind w:left="567"/>
        <w:rPr>
          <w:sz w:val="20"/>
          <w:szCs w:val="20"/>
        </w:rPr>
      </w:pPr>
      <w:r w:rsidRPr="00961DB1">
        <w:rPr>
          <w:sz w:val="20"/>
          <w:szCs w:val="20"/>
        </w:rPr>
        <w:t>-</w:t>
      </w:r>
      <w:r w:rsidRPr="00961DB1">
        <w:rPr>
          <w:sz w:val="20"/>
          <w:szCs w:val="20"/>
        </w:rPr>
        <w:tab/>
        <w:t>ostatní budova tvořící příslušenství k budově obytného domu</w:t>
      </w:r>
    </w:p>
    <w:p w:rsidR="00961DB1" w:rsidRPr="00961DB1" w:rsidRDefault="00961DB1" w:rsidP="00AA1BEF">
      <w:pPr>
        <w:ind w:left="709" w:hanging="142"/>
        <w:rPr>
          <w:sz w:val="20"/>
          <w:szCs w:val="20"/>
        </w:rPr>
      </w:pPr>
      <w:r w:rsidRPr="00961DB1">
        <w:rPr>
          <w:sz w:val="20"/>
          <w:szCs w:val="20"/>
        </w:rPr>
        <w:t>-</w:t>
      </w:r>
      <w:r w:rsidRPr="00961DB1">
        <w:rPr>
          <w:sz w:val="20"/>
          <w:szCs w:val="20"/>
        </w:rPr>
        <w:tab/>
        <w:t>budova pro rodinnou rekreaci a budova rodinného domu užívaná pro rodinnou rekreaci</w:t>
      </w:r>
    </w:p>
    <w:p w:rsidR="00961DB1" w:rsidRPr="00961DB1" w:rsidRDefault="00961DB1" w:rsidP="00AA1BEF">
      <w:pPr>
        <w:ind w:left="567"/>
        <w:rPr>
          <w:sz w:val="20"/>
          <w:szCs w:val="20"/>
        </w:rPr>
      </w:pPr>
      <w:r w:rsidRPr="00961DB1">
        <w:rPr>
          <w:sz w:val="20"/>
          <w:szCs w:val="20"/>
        </w:rPr>
        <w:t>-</w:t>
      </w:r>
      <w:r w:rsidRPr="00961DB1">
        <w:rPr>
          <w:sz w:val="20"/>
          <w:szCs w:val="20"/>
        </w:rPr>
        <w:tab/>
        <w:t>stavba plnící doplňkovou funkci k budovám pro rekreaci</w:t>
      </w:r>
    </w:p>
    <w:p w:rsidR="00961DB1" w:rsidRPr="00961DB1" w:rsidRDefault="00961DB1" w:rsidP="00AA1BEF">
      <w:pPr>
        <w:ind w:left="567"/>
        <w:rPr>
          <w:sz w:val="20"/>
          <w:szCs w:val="20"/>
        </w:rPr>
      </w:pPr>
      <w:r w:rsidRPr="00961DB1">
        <w:rPr>
          <w:sz w:val="20"/>
          <w:szCs w:val="20"/>
        </w:rPr>
        <w:t>-</w:t>
      </w:r>
      <w:r w:rsidRPr="00961DB1">
        <w:rPr>
          <w:sz w:val="20"/>
          <w:szCs w:val="20"/>
        </w:rPr>
        <w:tab/>
        <w:t>garáže vystavěné odděleně od budov obytných domů</w:t>
      </w:r>
    </w:p>
    <w:p w:rsidR="00961DB1" w:rsidRPr="00961DB1" w:rsidRDefault="00961DB1" w:rsidP="00AA1BEF">
      <w:pPr>
        <w:ind w:left="567"/>
        <w:rPr>
          <w:sz w:val="20"/>
          <w:szCs w:val="20"/>
        </w:rPr>
      </w:pPr>
      <w:r w:rsidRPr="00961DB1">
        <w:rPr>
          <w:sz w:val="20"/>
          <w:szCs w:val="20"/>
        </w:rPr>
        <w:t>-</w:t>
      </w:r>
      <w:r w:rsidRPr="00961DB1">
        <w:rPr>
          <w:sz w:val="20"/>
          <w:szCs w:val="20"/>
        </w:rPr>
        <w:tab/>
        <w:t>podnikání v zemědělské prvovýrobě, lesním nebo vodním hospodářství</w:t>
      </w:r>
    </w:p>
    <w:p w:rsidR="00961DB1" w:rsidRPr="00961DB1" w:rsidRDefault="00961DB1" w:rsidP="00AA1BEF">
      <w:pPr>
        <w:ind w:left="709" w:hanging="142"/>
        <w:rPr>
          <w:sz w:val="20"/>
          <w:szCs w:val="20"/>
        </w:rPr>
      </w:pPr>
      <w:r w:rsidRPr="00961DB1">
        <w:rPr>
          <w:sz w:val="20"/>
          <w:szCs w:val="20"/>
        </w:rPr>
        <w:t>-</w:t>
      </w:r>
      <w:r w:rsidRPr="00961DB1">
        <w:rPr>
          <w:sz w:val="20"/>
          <w:szCs w:val="20"/>
        </w:rPr>
        <w:tab/>
        <w:t>podnikání v průmyslu, stavebnictví, dopravě, energetice nebo ostatní zemědělské výrobě</w:t>
      </w:r>
    </w:p>
    <w:p w:rsidR="00961DB1" w:rsidRPr="00961DB1" w:rsidRDefault="00961DB1" w:rsidP="00AA1BEF">
      <w:pPr>
        <w:ind w:left="567"/>
        <w:rPr>
          <w:sz w:val="20"/>
          <w:szCs w:val="20"/>
        </w:rPr>
      </w:pPr>
      <w:r w:rsidRPr="00961DB1">
        <w:rPr>
          <w:sz w:val="20"/>
          <w:szCs w:val="20"/>
        </w:rPr>
        <w:t>-</w:t>
      </w:r>
      <w:r w:rsidRPr="00961DB1">
        <w:rPr>
          <w:sz w:val="20"/>
          <w:szCs w:val="20"/>
        </w:rPr>
        <w:tab/>
        <w:t>ostatní druhy podnikání</w:t>
      </w:r>
    </w:p>
    <w:p w:rsidR="00961DB1" w:rsidRPr="00961DB1" w:rsidRDefault="00961DB1" w:rsidP="00AA1BEF">
      <w:pPr>
        <w:ind w:left="567"/>
        <w:rPr>
          <w:sz w:val="20"/>
          <w:szCs w:val="20"/>
        </w:rPr>
      </w:pPr>
      <w:r w:rsidRPr="00961DB1">
        <w:rPr>
          <w:sz w:val="20"/>
          <w:szCs w:val="20"/>
        </w:rPr>
        <w:t>-</w:t>
      </w:r>
      <w:r w:rsidRPr="00961DB1">
        <w:rPr>
          <w:sz w:val="20"/>
          <w:szCs w:val="20"/>
        </w:rPr>
        <w:tab/>
        <w:t>ostatní zdanitelná stavba</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Velmi důležitým kritériem je rozdělení nemovitostí dle jejich umístění v rámci katastru:</w:t>
      </w:r>
    </w:p>
    <w:p w:rsidR="00961DB1" w:rsidRPr="007A78BE" w:rsidRDefault="00961DB1" w:rsidP="00C2641D">
      <w:pPr>
        <w:spacing w:before="120"/>
        <w:ind w:left="567"/>
        <w:rPr>
          <w:b/>
          <w:sz w:val="20"/>
          <w:szCs w:val="20"/>
        </w:rPr>
      </w:pPr>
      <w:r w:rsidRPr="007A78BE">
        <w:rPr>
          <w:b/>
          <w:sz w:val="20"/>
          <w:szCs w:val="20"/>
        </w:rPr>
        <w:t>-</w:t>
      </w:r>
      <w:r w:rsidRPr="007A78BE">
        <w:rPr>
          <w:b/>
          <w:sz w:val="20"/>
          <w:szCs w:val="20"/>
        </w:rPr>
        <w:tab/>
      </w:r>
      <w:proofErr w:type="spellStart"/>
      <w:r w:rsidRPr="007A78BE">
        <w:rPr>
          <w:b/>
          <w:sz w:val="20"/>
          <w:szCs w:val="20"/>
        </w:rPr>
        <w:t>Intravilán</w:t>
      </w:r>
      <w:proofErr w:type="spellEnd"/>
      <w:r w:rsidRPr="007A78BE">
        <w:rPr>
          <w:b/>
          <w:sz w:val="20"/>
          <w:szCs w:val="20"/>
        </w:rPr>
        <w:t xml:space="preserve"> </w:t>
      </w:r>
    </w:p>
    <w:p w:rsidR="00961DB1" w:rsidRPr="007A78BE" w:rsidRDefault="00961DB1" w:rsidP="00C2641D">
      <w:pPr>
        <w:spacing w:after="120"/>
        <w:ind w:left="567"/>
        <w:rPr>
          <w:b/>
          <w:sz w:val="20"/>
          <w:szCs w:val="20"/>
        </w:rPr>
      </w:pPr>
      <w:r w:rsidRPr="007A78BE">
        <w:rPr>
          <w:b/>
          <w:sz w:val="20"/>
          <w:szCs w:val="20"/>
        </w:rPr>
        <w:t>-</w:t>
      </w:r>
      <w:r w:rsidRPr="007A78BE">
        <w:rPr>
          <w:b/>
          <w:sz w:val="20"/>
          <w:szCs w:val="20"/>
        </w:rPr>
        <w:tab/>
      </w:r>
      <w:proofErr w:type="spellStart"/>
      <w:r w:rsidRPr="007A78BE">
        <w:rPr>
          <w:b/>
          <w:sz w:val="20"/>
          <w:szCs w:val="20"/>
        </w:rPr>
        <w:t>Extravilán</w:t>
      </w:r>
      <w:proofErr w:type="spellEnd"/>
    </w:p>
    <w:p w:rsidR="00961DB1" w:rsidRDefault="00961DB1" w:rsidP="00961DB1">
      <w:pPr>
        <w:rPr>
          <w:sz w:val="20"/>
          <w:szCs w:val="20"/>
        </w:rPr>
      </w:pPr>
      <w:proofErr w:type="spellStart"/>
      <w:r w:rsidRPr="00961DB1">
        <w:rPr>
          <w:sz w:val="20"/>
          <w:szCs w:val="20"/>
        </w:rPr>
        <w:t>Intravilánem</w:t>
      </w:r>
      <w:proofErr w:type="spellEnd"/>
      <w:r w:rsidRPr="00961DB1">
        <w:rPr>
          <w:sz w:val="20"/>
          <w:szCs w:val="20"/>
        </w:rPr>
        <w:t xml:space="preserve"> se obvykle rozumí část území obce (resp. jejího katastrálního území), která je z větší části zastavěna. Zahrnuje samotné zastavěné plochy a k nim přiléhající plochy – zahrady, pozemní komunikace, soukromou a veřejnou zeleň, vodní toky a vodní plochy. V takovém případě je hranice mezi </w:t>
      </w:r>
      <w:proofErr w:type="spellStart"/>
      <w:r w:rsidRPr="00961DB1">
        <w:rPr>
          <w:sz w:val="20"/>
          <w:szCs w:val="20"/>
        </w:rPr>
        <w:t>intravilánem</w:t>
      </w:r>
      <w:proofErr w:type="spellEnd"/>
      <w:r w:rsidRPr="00961DB1">
        <w:rPr>
          <w:sz w:val="20"/>
          <w:szCs w:val="20"/>
        </w:rPr>
        <w:t xml:space="preserve"> a </w:t>
      </w:r>
      <w:proofErr w:type="spellStart"/>
      <w:r w:rsidRPr="00961DB1">
        <w:rPr>
          <w:sz w:val="20"/>
          <w:szCs w:val="20"/>
        </w:rPr>
        <w:t>extravilánem</w:t>
      </w:r>
      <w:proofErr w:type="spellEnd"/>
      <w:r w:rsidRPr="00961DB1">
        <w:rPr>
          <w:sz w:val="20"/>
          <w:szCs w:val="20"/>
        </w:rPr>
        <w:t xml:space="preserve"> obvykle vedena po společném vnějším obvodu zastavěných a přiléhajících ploch. Do </w:t>
      </w:r>
      <w:proofErr w:type="spellStart"/>
      <w:r w:rsidRPr="00961DB1">
        <w:rPr>
          <w:sz w:val="20"/>
          <w:szCs w:val="20"/>
        </w:rPr>
        <w:t>intravilánu</w:t>
      </w:r>
      <w:proofErr w:type="spellEnd"/>
      <w:r w:rsidRPr="00961DB1">
        <w:rPr>
          <w:sz w:val="20"/>
          <w:szCs w:val="20"/>
        </w:rPr>
        <w:t xml:space="preserve"> obvykle nejsou zahrnovány osamělé budovy, menší osady, osamocené průmyslové a zemědělské budovy či areály. </w:t>
      </w:r>
      <w:proofErr w:type="spellStart"/>
      <w:r w:rsidRPr="00961DB1">
        <w:rPr>
          <w:sz w:val="20"/>
          <w:szCs w:val="20"/>
        </w:rPr>
        <w:t>Intravilán</w:t>
      </w:r>
      <w:proofErr w:type="spellEnd"/>
      <w:r w:rsidRPr="00961DB1">
        <w:rPr>
          <w:sz w:val="20"/>
          <w:szCs w:val="20"/>
        </w:rPr>
        <w:t xml:space="preserve"> zpravidla vyplňuje vnitřek katastrálního území dané obce, </w:t>
      </w:r>
      <w:proofErr w:type="spellStart"/>
      <w:r w:rsidRPr="00961DB1">
        <w:rPr>
          <w:sz w:val="20"/>
          <w:szCs w:val="20"/>
        </w:rPr>
        <w:t>extravilán</w:t>
      </w:r>
      <w:proofErr w:type="spellEnd"/>
      <w:r w:rsidRPr="00961DB1">
        <w:rPr>
          <w:sz w:val="20"/>
          <w:szCs w:val="20"/>
        </w:rPr>
        <w:t xml:space="preserve"> pak zbytek, většinou po obvodu katastrální hranice.</w:t>
      </w:r>
    </w:p>
    <w:p w:rsidR="00961DB1" w:rsidRPr="00AA1BEF" w:rsidRDefault="00961DB1" w:rsidP="00AA1BEF">
      <w:pPr>
        <w:pStyle w:val="Nadpis2"/>
        <w:numPr>
          <w:ilvl w:val="1"/>
          <w:numId w:val="1"/>
        </w:numPr>
        <w:pBdr>
          <w:bottom w:val="none" w:sz="0" w:space="0" w:color="auto"/>
        </w:pBdr>
        <w:rPr>
          <w:b/>
          <w:bCs w:val="0"/>
          <w:color w:val="404040" w:themeColor="text1" w:themeTint="BF"/>
          <w:sz w:val="22"/>
          <w:szCs w:val="22"/>
        </w:rPr>
      </w:pPr>
      <w:bookmarkStart w:id="15" w:name="_Toc34910884"/>
      <w:r w:rsidRPr="00AA1BEF">
        <w:rPr>
          <w:b/>
          <w:bCs w:val="0"/>
          <w:color w:val="404040" w:themeColor="text1" w:themeTint="BF"/>
          <w:sz w:val="22"/>
          <w:szCs w:val="22"/>
        </w:rPr>
        <w:t>PŘEVOD A PRONÁJEM NEMOVITOSTÍ</w:t>
      </w:r>
      <w:bookmarkEnd w:id="15"/>
    </w:p>
    <w:p w:rsidR="00961DB1" w:rsidRPr="00215609" w:rsidRDefault="00961DB1" w:rsidP="009B1CEA">
      <w:pPr>
        <w:pStyle w:val="Odstavecseseznamem"/>
        <w:numPr>
          <w:ilvl w:val="2"/>
          <w:numId w:val="11"/>
        </w:numPr>
        <w:rPr>
          <w:b/>
          <w:sz w:val="20"/>
          <w:szCs w:val="20"/>
        </w:rPr>
      </w:pPr>
      <w:r w:rsidRPr="00215609">
        <w:rPr>
          <w:b/>
          <w:sz w:val="20"/>
          <w:szCs w:val="20"/>
        </w:rPr>
        <w:t>Koupě, směna, prodej nemovitostí</w:t>
      </w:r>
    </w:p>
    <w:p w:rsidR="00961DB1" w:rsidRPr="00961DB1" w:rsidRDefault="00961DB1" w:rsidP="00961DB1">
      <w:pPr>
        <w:rPr>
          <w:sz w:val="20"/>
          <w:szCs w:val="20"/>
        </w:rPr>
      </w:pPr>
      <w:r w:rsidRPr="00961DB1">
        <w:rPr>
          <w:sz w:val="20"/>
          <w:szCs w:val="20"/>
        </w:rPr>
        <w:t>Při převodech tj. prodeji, směně nebo koupi nemovitosti je nutné vždy postupovat podle zákona o obcích. Zákon ukládá několik povinností, které je nutno dodržet.</w:t>
      </w:r>
    </w:p>
    <w:p w:rsidR="00961DB1" w:rsidRPr="00961DB1" w:rsidRDefault="00961DB1" w:rsidP="00961DB1">
      <w:pPr>
        <w:rPr>
          <w:sz w:val="20"/>
          <w:szCs w:val="20"/>
        </w:rPr>
      </w:pPr>
    </w:p>
    <w:p w:rsidR="00961DB1" w:rsidRPr="00215609" w:rsidRDefault="00961DB1" w:rsidP="009B1CEA">
      <w:pPr>
        <w:pStyle w:val="Odstavecseseznamem"/>
        <w:numPr>
          <w:ilvl w:val="0"/>
          <w:numId w:val="12"/>
        </w:numPr>
        <w:rPr>
          <w:sz w:val="20"/>
          <w:szCs w:val="20"/>
        </w:rPr>
      </w:pPr>
      <w:r w:rsidRPr="00215609">
        <w:rPr>
          <w:sz w:val="20"/>
          <w:szCs w:val="20"/>
        </w:rPr>
        <w:lastRenderedPageBreak/>
        <w:t>veřejné projednávání, tj. zveřejnit záměr obce po dobu nejméně 15 dnů před projednáním na úřední desce</w:t>
      </w:r>
    </w:p>
    <w:p w:rsidR="00961DB1" w:rsidRPr="00961DB1" w:rsidRDefault="00961DB1" w:rsidP="009B1CEA">
      <w:pPr>
        <w:pStyle w:val="Odstavecseseznamem"/>
        <w:numPr>
          <w:ilvl w:val="0"/>
          <w:numId w:val="12"/>
        </w:numPr>
        <w:rPr>
          <w:sz w:val="20"/>
          <w:szCs w:val="20"/>
        </w:rPr>
      </w:pPr>
      <w:r w:rsidRPr="00961DB1">
        <w:rPr>
          <w:sz w:val="20"/>
          <w:szCs w:val="20"/>
        </w:rPr>
        <w:t>rozhodování o převodech nemovitostí tj. prodeji, směně nebo koupi nemovitosti je vyhrazeno zastupitelstvu obce</w:t>
      </w:r>
    </w:p>
    <w:p w:rsidR="00961DB1" w:rsidRPr="00961DB1" w:rsidRDefault="00961DB1" w:rsidP="009B1CEA">
      <w:pPr>
        <w:pStyle w:val="Odstavecseseznamem"/>
        <w:numPr>
          <w:ilvl w:val="0"/>
          <w:numId w:val="12"/>
        </w:numPr>
        <w:rPr>
          <w:sz w:val="20"/>
          <w:szCs w:val="20"/>
        </w:rPr>
      </w:pPr>
      <w:r w:rsidRPr="00961DB1">
        <w:rPr>
          <w:sz w:val="20"/>
          <w:szCs w:val="20"/>
        </w:rPr>
        <w:t>postup při převodech nemovitosti by měl určovat jednací řád zastupitelstva</w:t>
      </w:r>
    </w:p>
    <w:p w:rsidR="00961DB1" w:rsidRPr="00961DB1" w:rsidRDefault="00961DB1" w:rsidP="009B1CEA">
      <w:pPr>
        <w:pStyle w:val="Odstavecseseznamem"/>
        <w:numPr>
          <w:ilvl w:val="0"/>
          <w:numId w:val="12"/>
        </w:numPr>
        <w:rPr>
          <w:sz w:val="20"/>
          <w:szCs w:val="20"/>
        </w:rPr>
      </w:pPr>
      <w:r w:rsidRPr="00961DB1">
        <w:rPr>
          <w:sz w:val="20"/>
          <w:szCs w:val="20"/>
        </w:rPr>
        <w:t>postup při pronájmech by měl určovat jednací řád rady</w:t>
      </w:r>
    </w:p>
    <w:p w:rsidR="00961DB1" w:rsidRDefault="00961DB1" w:rsidP="009B1CEA">
      <w:pPr>
        <w:pStyle w:val="Odstavecseseznamem"/>
        <w:numPr>
          <w:ilvl w:val="0"/>
          <w:numId w:val="12"/>
        </w:numPr>
        <w:rPr>
          <w:sz w:val="20"/>
          <w:szCs w:val="20"/>
        </w:rPr>
      </w:pPr>
      <w:r w:rsidRPr="00961DB1">
        <w:rPr>
          <w:sz w:val="20"/>
          <w:szCs w:val="20"/>
        </w:rPr>
        <w:t>při schválení je nezbytné, aby se v usnesení uvedly všechny projednané podmínky převodu</w:t>
      </w:r>
    </w:p>
    <w:p w:rsidR="00F86286" w:rsidRPr="00961DB1" w:rsidRDefault="00F86286" w:rsidP="00F86286"/>
    <w:p w:rsidR="00961DB1" w:rsidRPr="00215609" w:rsidRDefault="00961DB1" w:rsidP="009B1CEA">
      <w:pPr>
        <w:pStyle w:val="Odstavecseseznamem"/>
        <w:numPr>
          <w:ilvl w:val="2"/>
          <w:numId w:val="11"/>
        </w:numPr>
        <w:spacing w:before="60" w:after="60"/>
        <w:rPr>
          <w:b/>
          <w:sz w:val="20"/>
          <w:szCs w:val="20"/>
        </w:rPr>
      </w:pPr>
      <w:r w:rsidRPr="00215609">
        <w:rPr>
          <w:b/>
          <w:sz w:val="20"/>
          <w:szCs w:val="20"/>
        </w:rPr>
        <w:t>Pronájem nemovitostí</w:t>
      </w:r>
    </w:p>
    <w:p w:rsidR="00961DB1" w:rsidRPr="00961DB1" w:rsidRDefault="00961DB1" w:rsidP="00961DB1">
      <w:pPr>
        <w:rPr>
          <w:sz w:val="20"/>
          <w:szCs w:val="20"/>
        </w:rPr>
      </w:pPr>
      <w:r w:rsidRPr="00961DB1">
        <w:rPr>
          <w:sz w:val="20"/>
          <w:szCs w:val="20"/>
        </w:rPr>
        <w:t>Pronájem nemovitostí je v pravomoci rady obce. Rada může rozhodnutí svěřit zcela nebo zčásti příslušnému odboru obecního úřadu nebo příspěvkové organizaci obce.</w:t>
      </w:r>
    </w:p>
    <w:p w:rsidR="00961DB1" w:rsidRPr="00961DB1" w:rsidRDefault="00961DB1" w:rsidP="00961DB1">
      <w:pPr>
        <w:rPr>
          <w:sz w:val="20"/>
          <w:szCs w:val="20"/>
        </w:rPr>
      </w:pPr>
    </w:p>
    <w:p w:rsidR="00961DB1" w:rsidRPr="00215609" w:rsidRDefault="00961DB1" w:rsidP="00215609">
      <w:pPr>
        <w:pStyle w:val="Nadpis2"/>
        <w:numPr>
          <w:ilvl w:val="1"/>
          <w:numId w:val="1"/>
        </w:numPr>
        <w:pBdr>
          <w:bottom w:val="none" w:sz="0" w:space="0" w:color="auto"/>
        </w:pBdr>
        <w:rPr>
          <w:b/>
          <w:bCs w:val="0"/>
          <w:color w:val="404040" w:themeColor="text1" w:themeTint="BF"/>
          <w:sz w:val="22"/>
          <w:szCs w:val="22"/>
        </w:rPr>
      </w:pPr>
      <w:bookmarkStart w:id="16" w:name="_Toc34910885"/>
      <w:r w:rsidRPr="00215609">
        <w:rPr>
          <w:b/>
          <w:bCs w:val="0"/>
          <w:color w:val="404040" w:themeColor="text1" w:themeTint="BF"/>
          <w:sz w:val="22"/>
          <w:szCs w:val="22"/>
        </w:rPr>
        <w:t>FINANČNÍ ANALÝZA</w:t>
      </w:r>
      <w:bookmarkEnd w:id="16"/>
    </w:p>
    <w:p w:rsidR="00961DB1" w:rsidRPr="00961DB1" w:rsidRDefault="00961DB1" w:rsidP="00961DB1">
      <w:pPr>
        <w:rPr>
          <w:sz w:val="20"/>
          <w:szCs w:val="20"/>
        </w:rPr>
      </w:pPr>
      <w:r w:rsidRPr="00961DB1">
        <w:rPr>
          <w:sz w:val="20"/>
          <w:szCs w:val="20"/>
        </w:rPr>
        <w:t>K posouzení majetkové situace obce v rámci finanční analýzy lze provést horizontální a</w:t>
      </w:r>
      <w:r w:rsidR="00B93152">
        <w:rPr>
          <w:sz w:val="20"/>
          <w:szCs w:val="20"/>
        </w:rPr>
        <w:t> </w:t>
      </w:r>
      <w:r w:rsidRPr="00961DB1">
        <w:rPr>
          <w:sz w:val="20"/>
          <w:szCs w:val="20"/>
        </w:rPr>
        <w:t xml:space="preserve">vertikální analýzu. Horizontální analýza znázorňuje vývoj vybraných položek ve sledovaném období (vývoj položek v čase). Vertikální analýza podává informace o tom, jaký je procentní podíl vybraných položek ze stanoveného základu (zjišťování podílu jednotlivých dílčích položek na celku). </w:t>
      </w:r>
      <w:r w:rsidRPr="002E0242">
        <w:rPr>
          <w:sz w:val="20"/>
          <w:szCs w:val="20"/>
        </w:rPr>
        <w:t>Na základě poznatků, zjištěných vertikální a</w:t>
      </w:r>
      <w:r w:rsidR="00B93152">
        <w:rPr>
          <w:sz w:val="20"/>
          <w:szCs w:val="20"/>
        </w:rPr>
        <w:t> </w:t>
      </w:r>
      <w:r w:rsidRPr="002E0242">
        <w:rPr>
          <w:sz w:val="20"/>
          <w:szCs w:val="20"/>
        </w:rPr>
        <w:t>horizontální analýzou, byla věnována pozornost i struktuře a vývoji dlouhodobého hmotného majetku, který tvoří podstatnou část stálých aktiv města a i největší podíl na celkovém majetku, se kterým město Slavkov u Brna hospodaří.</w:t>
      </w:r>
    </w:p>
    <w:p w:rsidR="00961DB1" w:rsidRPr="00961DB1" w:rsidRDefault="00961DB1" w:rsidP="00961DB1">
      <w:pPr>
        <w:rPr>
          <w:sz w:val="20"/>
          <w:szCs w:val="20"/>
        </w:rPr>
      </w:pPr>
    </w:p>
    <w:p w:rsidR="00961DB1" w:rsidRPr="00215609" w:rsidRDefault="00961DB1" w:rsidP="009B1CEA">
      <w:pPr>
        <w:pStyle w:val="Odstavecseseznamem"/>
        <w:numPr>
          <w:ilvl w:val="2"/>
          <w:numId w:val="11"/>
        </w:numPr>
        <w:spacing w:before="60" w:after="60"/>
        <w:rPr>
          <w:b/>
          <w:sz w:val="20"/>
          <w:szCs w:val="20"/>
        </w:rPr>
      </w:pPr>
      <w:r w:rsidRPr="00215609">
        <w:rPr>
          <w:b/>
          <w:sz w:val="20"/>
          <w:szCs w:val="20"/>
        </w:rPr>
        <w:t>Horizontální analýza</w:t>
      </w:r>
    </w:p>
    <w:p w:rsidR="00961DB1" w:rsidRPr="00961DB1" w:rsidRDefault="00961DB1" w:rsidP="00961DB1">
      <w:pPr>
        <w:rPr>
          <w:sz w:val="20"/>
          <w:szCs w:val="20"/>
        </w:rPr>
      </w:pPr>
      <w:r w:rsidRPr="00961DB1">
        <w:rPr>
          <w:sz w:val="20"/>
          <w:szCs w:val="20"/>
        </w:rPr>
        <w:t>Horizontální analýza je metodou finanční analýzy, která zobrazuje změnu (podíl či rozdíl) stejné položky v čase (např. srovnání bilanční sumy na konci sledovaného období oproti stavu ke konci předchozího roku).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Srovnávat je možné k:</w:t>
      </w:r>
    </w:p>
    <w:p w:rsidR="00961DB1" w:rsidRPr="00215609" w:rsidRDefault="00961DB1" w:rsidP="009B1CEA">
      <w:pPr>
        <w:pStyle w:val="Odstavecseseznamem"/>
        <w:numPr>
          <w:ilvl w:val="0"/>
          <w:numId w:val="13"/>
        </w:numPr>
        <w:rPr>
          <w:sz w:val="20"/>
          <w:szCs w:val="20"/>
        </w:rPr>
      </w:pPr>
      <w:r w:rsidRPr="00215609">
        <w:rPr>
          <w:sz w:val="20"/>
          <w:szCs w:val="20"/>
        </w:rPr>
        <w:t>nejbližšímu přechozímu období (nejčastější), např. s předchozím rokem</w:t>
      </w:r>
    </w:p>
    <w:p w:rsidR="00961DB1" w:rsidRPr="00215609" w:rsidRDefault="00961DB1" w:rsidP="009B1CEA">
      <w:pPr>
        <w:pStyle w:val="Odstavecseseznamem"/>
        <w:numPr>
          <w:ilvl w:val="0"/>
          <w:numId w:val="13"/>
        </w:numPr>
        <w:rPr>
          <w:sz w:val="20"/>
          <w:szCs w:val="20"/>
        </w:rPr>
      </w:pPr>
      <w:r w:rsidRPr="00215609">
        <w:rPr>
          <w:sz w:val="20"/>
          <w:szCs w:val="20"/>
        </w:rPr>
        <w:t>vybranému období, např. s rokem 3 roky zpátky</w:t>
      </w:r>
    </w:p>
    <w:p w:rsidR="00961DB1" w:rsidRPr="00215609" w:rsidRDefault="00961DB1" w:rsidP="009B1CEA">
      <w:pPr>
        <w:pStyle w:val="Odstavecseseznamem"/>
        <w:numPr>
          <w:ilvl w:val="0"/>
          <w:numId w:val="13"/>
        </w:numPr>
        <w:rPr>
          <w:sz w:val="20"/>
          <w:szCs w:val="20"/>
        </w:rPr>
      </w:pPr>
      <w:r w:rsidRPr="00215609">
        <w:rPr>
          <w:sz w:val="20"/>
          <w:szCs w:val="20"/>
        </w:rPr>
        <w:t>průměru několika předchozích období, např. průměr za poslední 3 roky</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Může být zobrazena jako</w:t>
      </w:r>
    </w:p>
    <w:p w:rsidR="00961DB1" w:rsidRPr="00961DB1" w:rsidRDefault="00961DB1" w:rsidP="00961DB1">
      <w:pPr>
        <w:rPr>
          <w:sz w:val="20"/>
          <w:szCs w:val="20"/>
        </w:rPr>
      </w:pPr>
    </w:p>
    <w:p w:rsidR="00961DB1" w:rsidRPr="00961DB1" w:rsidRDefault="00961DB1" w:rsidP="009B1CEA">
      <w:pPr>
        <w:pStyle w:val="Odstavecseseznamem"/>
        <w:numPr>
          <w:ilvl w:val="0"/>
          <w:numId w:val="13"/>
        </w:numPr>
        <w:rPr>
          <w:sz w:val="20"/>
          <w:szCs w:val="20"/>
        </w:rPr>
      </w:pPr>
      <w:r w:rsidRPr="00961DB1">
        <w:rPr>
          <w:sz w:val="20"/>
          <w:szCs w:val="20"/>
        </w:rPr>
        <w:t>rozdíl stejné položky ve finančním výkazu v čase (tj. absolutní změna):</w:t>
      </w:r>
    </w:p>
    <w:p w:rsidR="00961DB1" w:rsidRPr="00961DB1" w:rsidRDefault="00961DB1" w:rsidP="00961DB1">
      <w:pPr>
        <w:rPr>
          <w:sz w:val="20"/>
          <w:szCs w:val="20"/>
        </w:rPr>
      </w:pPr>
    </w:p>
    <w:p w:rsidR="00961DB1" w:rsidRPr="00961DB1" w:rsidRDefault="00961DB1" w:rsidP="00215609">
      <w:pPr>
        <w:jc w:val="center"/>
        <w:rPr>
          <w:sz w:val="20"/>
          <w:szCs w:val="20"/>
        </w:rPr>
      </w:pPr>
      <w:proofErr w:type="spellStart"/>
      <w:r w:rsidRPr="00961DB1">
        <w:rPr>
          <w:sz w:val="20"/>
          <w:szCs w:val="20"/>
        </w:rPr>
        <w:t>ukazatel</w:t>
      </w:r>
      <w:r w:rsidRPr="00215609">
        <w:rPr>
          <w:sz w:val="20"/>
          <w:szCs w:val="20"/>
          <w:vertAlign w:val="subscript"/>
        </w:rPr>
        <w:t>t</w:t>
      </w:r>
      <w:proofErr w:type="spellEnd"/>
      <w:r w:rsidRPr="00961DB1">
        <w:rPr>
          <w:sz w:val="20"/>
          <w:szCs w:val="20"/>
        </w:rPr>
        <w:t>- ukazatel</w:t>
      </w:r>
      <w:r w:rsidRPr="00215609">
        <w:rPr>
          <w:sz w:val="20"/>
          <w:szCs w:val="20"/>
          <w:vertAlign w:val="subscript"/>
        </w:rPr>
        <w:t>t-1</w:t>
      </w:r>
    </w:p>
    <w:p w:rsidR="00961DB1" w:rsidRPr="00961DB1" w:rsidRDefault="00961DB1" w:rsidP="00961DB1">
      <w:pPr>
        <w:rPr>
          <w:sz w:val="20"/>
          <w:szCs w:val="20"/>
        </w:rPr>
      </w:pPr>
    </w:p>
    <w:p w:rsidR="00961DB1" w:rsidRPr="00215609" w:rsidRDefault="00961DB1" w:rsidP="009B1CEA">
      <w:pPr>
        <w:pStyle w:val="Odstavecseseznamem"/>
        <w:numPr>
          <w:ilvl w:val="0"/>
          <w:numId w:val="14"/>
        </w:numPr>
        <w:rPr>
          <w:sz w:val="20"/>
          <w:szCs w:val="20"/>
        </w:rPr>
      </w:pPr>
      <w:r w:rsidRPr="00215609">
        <w:rPr>
          <w:sz w:val="20"/>
          <w:szCs w:val="20"/>
        </w:rPr>
        <w:t>podíl stejné položky oproti hodnotě předchozího období</w:t>
      </w:r>
    </w:p>
    <w:p w:rsidR="00961DB1" w:rsidRPr="00961DB1" w:rsidRDefault="00961DB1" w:rsidP="00961DB1">
      <w:pPr>
        <w:rPr>
          <w:sz w:val="20"/>
          <w:szCs w:val="20"/>
        </w:rPr>
      </w:pPr>
    </w:p>
    <w:p w:rsidR="00961DB1" w:rsidRPr="00961DB1" w:rsidRDefault="00215609" w:rsidP="00215609">
      <w:pPr>
        <w:jc w:val="center"/>
        <w:rPr>
          <w:sz w:val="20"/>
          <w:szCs w:val="20"/>
        </w:rPr>
      </w:pPr>
      <w:proofErr w:type="spellStart"/>
      <w:r w:rsidRPr="00961DB1">
        <w:rPr>
          <w:sz w:val="20"/>
          <w:szCs w:val="20"/>
        </w:rPr>
        <w:t>ukazatel</w:t>
      </w:r>
      <w:r w:rsidRPr="00215609">
        <w:rPr>
          <w:sz w:val="20"/>
          <w:szCs w:val="20"/>
          <w:vertAlign w:val="subscript"/>
        </w:rPr>
        <w:t>t</w:t>
      </w:r>
      <w:proofErr w:type="spellEnd"/>
    </w:p>
    <w:p w:rsidR="00961DB1" w:rsidRPr="00961DB1" w:rsidRDefault="00961DB1" w:rsidP="00215609">
      <w:pPr>
        <w:jc w:val="center"/>
        <w:rPr>
          <w:sz w:val="20"/>
          <w:szCs w:val="20"/>
        </w:rPr>
      </w:pPr>
      <w:r w:rsidRPr="00961DB1">
        <w:rPr>
          <w:sz w:val="20"/>
          <w:szCs w:val="20"/>
        </w:rPr>
        <w:t>________________________</w:t>
      </w:r>
    </w:p>
    <w:p w:rsidR="00961DB1" w:rsidRPr="00961DB1" w:rsidRDefault="00215609" w:rsidP="00215609">
      <w:pPr>
        <w:jc w:val="center"/>
        <w:rPr>
          <w:sz w:val="20"/>
          <w:szCs w:val="20"/>
        </w:rPr>
      </w:pPr>
      <w:r w:rsidRPr="00961DB1">
        <w:rPr>
          <w:sz w:val="20"/>
          <w:szCs w:val="20"/>
        </w:rPr>
        <w:t>ukazatel</w:t>
      </w:r>
      <w:r w:rsidRPr="00215609">
        <w:rPr>
          <w:sz w:val="20"/>
          <w:szCs w:val="20"/>
          <w:vertAlign w:val="subscript"/>
        </w:rPr>
        <w:t>t-1</w:t>
      </w:r>
    </w:p>
    <w:p w:rsidR="00961DB1" w:rsidRPr="00961DB1" w:rsidRDefault="00961DB1" w:rsidP="00961DB1">
      <w:pPr>
        <w:rPr>
          <w:sz w:val="20"/>
          <w:szCs w:val="20"/>
        </w:rPr>
      </w:pPr>
    </w:p>
    <w:p w:rsidR="00961DB1" w:rsidRPr="00215609" w:rsidRDefault="00961DB1" w:rsidP="009B1CEA">
      <w:pPr>
        <w:pStyle w:val="Odstavecseseznamem"/>
        <w:numPr>
          <w:ilvl w:val="0"/>
          <w:numId w:val="14"/>
        </w:numPr>
        <w:rPr>
          <w:sz w:val="20"/>
          <w:szCs w:val="20"/>
        </w:rPr>
      </w:pPr>
      <w:r w:rsidRPr="00215609">
        <w:rPr>
          <w:sz w:val="20"/>
          <w:szCs w:val="20"/>
        </w:rPr>
        <w:t>změnu stejné položky od hodnoty minulého období oproti hodnotě předchozího období (tj. relativní změna):</w:t>
      </w:r>
    </w:p>
    <w:p w:rsidR="00961DB1" w:rsidRPr="00961DB1" w:rsidRDefault="00961DB1" w:rsidP="00961DB1">
      <w:pPr>
        <w:rPr>
          <w:sz w:val="20"/>
          <w:szCs w:val="20"/>
        </w:rPr>
      </w:pPr>
    </w:p>
    <w:p w:rsidR="00961DB1" w:rsidRPr="00961DB1" w:rsidRDefault="00961DB1" w:rsidP="00215609">
      <w:pPr>
        <w:ind w:left="359" w:firstLine="709"/>
        <w:rPr>
          <w:sz w:val="20"/>
          <w:szCs w:val="20"/>
        </w:rPr>
      </w:pPr>
      <w:r w:rsidRPr="00961DB1">
        <w:rPr>
          <w:sz w:val="20"/>
          <w:szCs w:val="20"/>
        </w:rPr>
        <w:t>výpočet, pokud jsou hodnoty v</w:t>
      </w:r>
      <w:r w:rsidR="00F86286">
        <w:rPr>
          <w:sz w:val="20"/>
          <w:szCs w:val="20"/>
        </w:rPr>
        <w:t> </w:t>
      </w:r>
      <w:r w:rsidRPr="00961DB1">
        <w:rPr>
          <w:sz w:val="20"/>
          <w:szCs w:val="20"/>
        </w:rPr>
        <w:t>období</w:t>
      </w:r>
      <w:r w:rsidR="00F86286">
        <w:rPr>
          <w:sz w:val="20"/>
          <w:szCs w:val="20"/>
        </w:rPr>
        <w:t xml:space="preserve"> </w:t>
      </w:r>
      <w:r w:rsidRPr="00961DB1">
        <w:rPr>
          <w:sz w:val="20"/>
          <w:szCs w:val="20"/>
        </w:rPr>
        <w:t>t-1 kladné</w:t>
      </w:r>
    </w:p>
    <w:p w:rsidR="00961DB1" w:rsidRPr="00961DB1" w:rsidRDefault="00961DB1" w:rsidP="00961DB1">
      <w:pPr>
        <w:rPr>
          <w:sz w:val="20"/>
          <w:szCs w:val="20"/>
        </w:rPr>
      </w:pPr>
    </w:p>
    <w:p w:rsidR="00961DB1" w:rsidRPr="00961DB1" w:rsidRDefault="00215609" w:rsidP="00215609">
      <w:pPr>
        <w:jc w:val="center"/>
        <w:rPr>
          <w:sz w:val="20"/>
          <w:szCs w:val="20"/>
        </w:rPr>
      </w:pPr>
      <w:proofErr w:type="spellStart"/>
      <w:r w:rsidRPr="00961DB1">
        <w:rPr>
          <w:sz w:val="20"/>
          <w:szCs w:val="20"/>
        </w:rPr>
        <w:lastRenderedPageBreak/>
        <w:t>ukazatel</w:t>
      </w:r>
      <w:r w:rsidRPr="00215609">
        <w:rPr>
          <w:sz w:val="20"/>
          <w:szCs w:val="20"/>
          <w:vertAlign w:val="subscript"/>
        </w:rPr>
        <w:t>t</w:t>
      </w:r>
      <w:proofErr w:type="spellEnd"/>
      <w:r w:rsidRPr="00961DB1">
        <w:rPr>
          <w:sz w:val="20"/>
          <w:szCs w:val="20"/>
        </w:rPr>
        <w:t xml:space="preserve"> </w:t>
      </w:r>
      <w:r w:rsidR="00961DB1" w:rsidRPr="00961DB1">
        <w:rPr>
          <w:sz w:val="20"/>
          <w:szCs w:val="20"/>
        </w:rPr>
        <w:t xml:space="preserve">- </w:t>
      </w:r>
      <w:r w:rsidRPr="00961DB1">
        <w:rPr>
          <w:sz w:val="20"/>
          <w:szCs w:val="20"/>
        </w:rPr>
        <w:t>ukazatel</w:t>
      </w:r>
      <w:r w:rsidRPr="00215609">
        <w:rPr>
          <w:sz w:val="20"/>
          <w:szCs w:val="20"/>
          <w:vertAlign w:val="subscript"/>
        </w:rPr>
        <w:t>t-1</w:t>
      </w:r>
    </w:p>
    <w:p w:rsidR="00961DB1" w:rsidRPr="00961DB1" w:rsidRDefault="00961DB1" w:rsidP="00215609">
      <w:pPr>
        <w:jc w:val="center"/>
        <w:rPr>
          <w:sz w:val="20"/>
          <w:szCs w:val="20"/>
        </w:rPr>
      </w:pPr>
      <w:r w:rsidRPr="00961DB1">
        <w:rPr>
          <w:sz w:val="20"/>
          <w:szCs w:val="20"/>
        </w:rPr>
        <w:t>________________________</w:t>
      </w:r>
    </w:p>
    <w:p w:rsidR="00961DB1" w:rsidRPr="00961DB1" w:rsidRDefault="00215609" w:rsidP="00215609">
      <w:pPr>
        <w:jc w:val="center"/>
        <w:rPr>
          <w:sz w:val="20"/>
          <w:szCs w:val="20"/>
        </w:rPr>
      </w:pPr>
      <w:r w:rsidRPr="00961DB1">
        <w:rPr>
          <w:sz w:val="20"/>
          <w:szCs w:val="20"/>
        </w:rPr>
        <w:t>ukazatel</w:t>
      </w:r>
      <w:r w:rsidRPr="00215609">
        <w:rPr>
          <w:sz w:val="20"/>
          <w:szCs w:val="20"/>
          <w:vertAlign w:val="subscript"/>
        </w:rPr>
        <w:t>t-1</w:t>
      </w:r>
    </w:p>
    <w:p w:rsidR="00961DB1" w:rsidRPr="00961DB1" w:rsidRDefault="00961DB1" w:rsidP="00961DB1">
      <w:pPr>
        <w:rPr>
          <w:sz w:val="20"/>
          <w:szCs w:val="20"/>
        </w:rPr>
      </w:pPr>
    </w:p>
    <w:p w:rsidR="00961DB1" w:rsidRPr="00961DB1" w:rsidRDefault="00961DB1" w:rsidP="00215609">
      <w:pPr>
        <w:ind w:firstLine="709"/>
        <w:jc w:val="center"/>
        <w:rPr>
          <w:sz w:val="20"/>
          <w:szCs w:val="20"/>
        </w:rPr>
      </w:pPr>
      <w:r w:rsidRPr="00961DB1">
        <w:rPr>
          <w:sz w:val="20"/>
          <w:szCs w:val="20"/>
        </w:rPr>
        <w:t>zjednodušený výpočet, pokud jsou hodnoty v</w:t>
      </w:r>
      <w:r w:rsidR="00F86286">
        <w:rPr>
          <w:sz w:val="20"/>
          <w:szCs w:val="20"/>
        </w:rPr>
        <w:t> </w:t>
      </w:r>
      <w:r w:rsidRPr="00961DB1">
        <w:rPr>
          <w:sz w:val="20"/>
          <w:szCs w:val="20"/>
        </w:rPr>
        <w:t>období</w:t>
      </w:r>
      <w:r w:rsidR="00F86286">
        <w:rPr>
          <w:sz w:val="20"/>
          <w:szCs w:val="20"/>
        </w:rPr>
        <w:t xml:space="preserve"> </w:t>
      </w:r>
      <w:r w:rsidRPr="00961DB1">
        <w:rPr>
          <w:sz w:val="20"/>
          <w:szCs w:val="20"/>
        </w:rPr>
        <w:t>t-1 záporné (jmenovatel vynásobit hodnotou -1)</w:t>
      </w:r>
    </w:p>
    <w:p w:rsidR="00961DB1" w:rsidRPr="00961DB1" w:rsidRDefault="00961DB1" w:rsidP="00961DB1">
      <w:pPr>
        <w:rPr>
          <w:sz w:val="20"/>
          <w:szCs w:val="20"/>
        </w:rPr>
      </w:pPr>
    </w:p>
    <w:p w:rsidR="00215609" w:rsidRPr="00961DB1" w:rsidRDefault="00215609" w:rsidP="00215609">
      <w:pPr>
        <w:jc w:val="center"/>
        <w:rPr>
          <w:sz w:val="20"/>
          <w:szCs w:val="20"/>
        </w:rPr>
      </w:pPr>
      <w:proofErr w:type="spellStart"/>
      <w:r w:rsidRPr="00961DB1">
        <w:rPr>
          <w:sz w:val="20"/>
          <w:szCs w:val="20"/>
        </w:rPr>
        <w:t>ukazatel</w:t>
      </w:r>
      <w:r w:rsidRPr="00215609">
        <w:rPr>
          <w:sz w:val="20"/>
          <w:szCs w:val="20"/>
          <w:vertAlign w:val="subscript"/>
        </w:rPr>
        <w:t>t</w:t>
      </w:r>
      <w:proofErr w:type="spellEnd"/>
      <w:r w:rsidRPr="00961DB1">
        <w:rPr>
          <w:sz w:val="20"/>
          <w:szCs w:val="20"/>
        </w:rPr>
        <w:t xml:space="preserve"> - ukazatel</w:t>
      </w:r>
      <w:r w:rsidRPr="00215609">
        <w:rPr>
          <w:sz w:val="20"/>
          <w:szCs w:val="20"/>
          <w:vertAlign w:val="subscript"/>
        </w:rPr>
        <w:t>t-1</w:t>
      </w:r>
    </w:p>
    <w:p w:rsidR="00215609" w:rsidRPr="00961DB1" w:rsidRDefault="00215609" w:rsidP="00215609">
      <w:pPr>
        <w:jc w:val="center"/>
        <w:rPr>
          <w:sz w:val="20"/>
          <w:szCs w:val="20"/>
        </w:rPr>
      </w:pPr>
      <w:r w:rsidRPr="00961DB1">
        <w:rPr>
          <w:sz w:val="20"/>
          <w:szCs w:val="20"/>
        </w:rPr>
        <w:t>________________________</w:t>
      </w:r>
    </w:p>
    <w:p w:rsidR="00215609" w:rsidRPr="00961DB1" w:rsidRDefault="00215609" w:rsidP="00215609">
      <w:pPr>
        <w:jc w:val="center"/>
        <w:rPr>
          <w:sz w:val="20"/>
          <w:szCs w:val="20"/>
        </w:rPr>
      </w:pPr>
      <w:r>
        <w:rPr>
          <w:sz w:val="20"/>
          <w:szCs w:val="20"/>
        </w:rPr>
        <w:t>-</w:t>
      </w:r>
      <w:r w:rsidRPr="00961DB1">
        <w:rPr>
          <w:sz w:val="20"/>
          <w:szCs w:val="20"/>
        </w:rPr>
        <w:t>ukazatel</w:t>
      </w:r>
      <w:r w:rsidRPr="00215609">
        <w:rPr>
          <w:sz w:val="20"/>
          <w:szCs w:val="20"/>
          <w:vertAlign w:val="subscript"/>
        </w:rPr>
        <w:t>t-1</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Účel horizontální analýzy</w:t>
      </w:r>
    </w:p>
    <w:p w:rsidR="00961DB1" w:rsidRPr="00215609" w:rsidRDefault="00961DB1" w:rsidP="009B1CEA">
      <w:pPr>
        <w:pStyle w:val="Odstavecseseznamem"/>
        <w:numPr>
          <w:ilvl w:val="0"/>
          <w:numId w:val="14"/>
        </w:numPr>
        <w:rPr>
          <w:sz w:val="20"/>
          <w:szCs w:val="20"/>
        </w:rPr>
      </w:pPr>
      <w:r w:rsidRPr="00215609">
        <w:rPr>
          <w:sz w:val="20"/>
          <w:szCs w:val="20"/>
        </w:rPr>
        <w:t>identifikuje položky s největší absolutní či relativní změnou</w:t>
      </w:r>
    </w:p>
    <w:p w:rsidR="00961DB1" w:rsidRPr="00215609" w:rsidRDefault="00961DB1" w:rsidP="009B1CEA">
      <w:pPr>
        <w:pStyle w:val="Odstavecseseznamem"/>
        <w:numPr>
          <w:ilvl w:val="0"/>
          <w:numId w:val="14"/>
        </w:numPr>
        <w:rPr>
          <w:sz w:val="20"/>
          <w:szCs w:val="20"/>
        </w:rPr>
      </w:pPr>
      <w:r w:rsidRPr="00215609">
        <w:rPr>
          <w:sz w:val="20"/>
          <w:szCs w:val="20"/>
        </w:rPr>
        <w:t>pomáhá odvodit trend</w:t>
      </w:r>
    </w:p>
    <w:p w:rsidR="00961DB1" w:rsidRPr="00215609" w:rsidRDefault="00961DB1" w:rsidP="009B1CEA">
      <w:pPr>
        <w:pStyle w:val="Odstavecseseznamem"/>
        <w:numPr>
          <w:ilvl w:val="0"/>
          <w:numId w:val="14"/>
        </w:numPr>
        <w:rPr>
          <w:sz w:val="20"/>
          <w:szCs w:val="20"/>
        </w:rPr>
      </w:pPr>
      <w:r w:rsidRPr="00215609">
        <w:rPr>
          <w:sz w:val="20"/>
          <w:szCs w:val="20"/>
        </w:rPr>
        <w:t xml:space="preserve">umožňuje porovnat procentní změnu na položkách výstupů oproti procentní změně na položkách vstupů </w:t>
      </w:r>
      <w:r w:rsidR="00257D41">
        <w:rPr>
          <w:sz w:val="20"/>
          <w:szCs w:val="20"/>
        </w:rPr>
        <w:sym w:font="Symbol" w:char="F0AE"/>
      </w:r>
      <w:r w:rsidRPr="00215609">
        <w:rPr>
          <w:sz w:val="20"/>
          <w:szCs w:val="20"/>
        </w:rPr>
        <w:t xml:space="preserve"> % zm</w:t>
      </w:r>
      <w:r w:rsidRPr="009B1CEA">
        <w:rPr>
          <w:sz w:val="20"/>
          <w:szCs w:val="20"/>
        </w:rPr>
        <w:t>ě</w:t>
      </w:r>
      <w:r w:rsidRPr="00215609">
        <w:rPr>
          <w:sz w:val="20"/>
          <w:szCs w:val="20"/>
        </w:rPr>
        <w:t>n na polo</w:t>
      </w:r>
      <w:r w:rsidRPr="009B1CEA">
        <w:rPr>
          <w:sz w:val="20"/>
          <w:szCs w:val="20"/>
        </w:rPr>
        <w:t>ž</w:t>
      </w:r>
      <w:r w:rsidRPr="00215609">
        <w:rPr>
          <w:sz w:val="20"/>
          <w:szCs w:val="20"/>
        </w:rPr>
        <w:t>k</w:t>
      </w:r>
      <w:r w:rsidRPr="009B1CEA">
        <w:rPr>
          <w:sz w:val="20"/>
          <w:szCs w:val="20"/>
        </w:rPr>
        <w:t>á</w:t>
      </w:r>
      <w:r w:rsidRPr="00215609">
        <w:rPr>
          <w:sz w:val="20"/>
          <w:szCs w:val="20"/>
        </w:rPr>
        <w:t>ch v</w:t>
      </w:r>
      <w:r w:rsidRPr="009B1CEA">
        <w:rPr>
          <w:sz w:val="20"/>
          <w:szCs w:val="20"/>
        </w:rPr>
        <w:t>ý</w:t>
      </w:r>
      <w:r w:rsidRPr="00215609">
        <w:rPr>
          <w:sz w:val="20"/>
          <w:szCs w:val="20"/>
        </w:rPr>
        <w:t>stup</w:t>
      </w:r>
      <w:r w:rsidRPr="009B1CEA">
        <w:rPr>
          <w:sz w:val="20"/>
          <w:szCs w:val="20"/>
        </w:rPr>
        <w:t>ů</w:t>
      </w:r>
      <w:r w:rsidRPr="00215609">
        <w:rPr>
          <w:sz w:val="20"/>
          <w:szCs w:val="20"/>
        </w:rPr>
        <w:t xml:space="preserve"> (nap</w:t>
      </w:r>
      <w:r w:rsidRPr="009B1CEA">
        <w:rPr>
          <w:sz w:val="20"/>
          <w:szCs w:val="20"/>
        </w:rPr>
        <w:t>ř</w:t>
      </w:r>
      <w:r w:rsidRPr="00215609">
        <w:rPr>
          <w:sz w:val="20"/>
          <w:szCs w:val="20"/>
        </w:rPr>
        <w:t>. zisk, tr</w:t>
      </w:r>
      <w:r w:rsidRPr="009B1CEA">
        <w:rPr>
          <w:sz w:val="20"/>
          <w:szCs w:val="20"/>
        </w:rPr>
        <w:t>ž</w:t>
      </w:r>
      <w:r w:rsidRPr="00215609">
        <w:rPr>
          <w:sz w:val="20"/>
          <w:szCs w:val="20"/>
        </w:rPr>
        <w:t>by) by obecn</w:t>
      </w:r>
      <w:r w:rsidRPr="009B1CEA">
        <w:rPr>
          <w:sz w:val="20"/>
          <w:szCs w:val="20"/>
        </w:rPr>
        <w:t>ě</w:t>
      </w:r>
      <w:r w:rsidRPr="00215609">
        <w:rPr>
          <w:sz w:val="20"/>
          <w:szCs w:val="20"/>
        </w:rPr>
        <w:t xml:space="preserve"> m</w:t>
      </w:r>
      <w:r w:rsidRPr="009B1CEA">
        <w:rPr>
          <w:sz w:val="20"/>
          <w:szCs w:val="20"/>
        </w:rPr>
        <w:t>ě</w:t>
      </w:r>
      <w:r w:rsidRPr="00215609">
        <w:rPr>
          <w:sz w:val="20"/>
          <w:szCs w:val="20"/>
        </w:rPr>
        <w:t>lo b</w:t>
      </w:r>
      <w:r w:rsidRPr="009B1CEA">
        <w:rPr>
          <w:sz w:val="20"/>
          <w:szCs w:val="20"/>
        </w:rPr>
        <w:t>ý</w:t>
      </w:r>
      <w:r w:rsidRPr="00215609">
        <w:rPr>
          <w:sz w:val="20"/>
          <w:szCs w:val="20"/>
        </w:rPr>
        <w:t>t vy</w:t>
      </w:r>
      <w:r w:rsidRPr="009B1CEA">
        <w:rPr>
          <w:sz w:val="20"/>
          <w:szCs w:val="20"/>
        </w:rPr>
        <w:t>šší</w:t>
      </w:r>
      <w:r w:rsidRPr="00215609">
        <w:rPr>
          <w:sz w:val="20"/>
          <w:szCs w:val="20"/>
        </w:rPr>
        <w:t xml:space="preserve"> ne</w:t>
      </w:r>
      <w:r w:rsidRPr="009B1CEA">
        <w:rPr>
          <w:sz w:val="20"/>
          <w:szCs w:val="20"/>
        </w:rPr>
        <w:t>ž</w:t>
      </w:r>
      <w:r w:rsidRPr="00215609">
        <w:rPr>
          <w:sz w:val="20"/>
          <w:szCs w:val="20"/>
        </w:rPr>
        <w:t xml:space="preserve"> na polo</w:t>
      </w:r>
      <w:r w:rsidRPr="009B1CEA">
        <w:rPr>
          <w:sz w:val="20"/>
          <w:szCs w:val="20"/>
        </w:rPr>
        <w:t>ž</w:t>
      </w:r>
      <w:r w:rsidRPr="00215609">
        <w:rPr>
          <w:sz w:val="20"/>
          <w:szCs w:val="20"/>
        </w:rPr>
        <w:t>k</w:t>
      </w:r>
      <w:r w:rsidRPr="009B1CEA">
        <w:rPr>
          <w:sz w:val="20"/>
          <w:szCs w:val="20"/>
        </w:rPr>
        <w:t>á</w:t>
      </w:r>
      <w:r w:rsidRPr="00215609">
        <w:rPr>
          <w:sz w:val="20"/>
          <w:szCs w:val="20"/>
        </w:rPr>
        <w:t>ch vstup</w:t>
      </w:r>
      <w:r w:rsidRPr="009B1CEA">
        <w:rPr>
          <w:sz w:val="20"/>
          <w:szCs w:val="20"/>
        </w:rPr>
        <w:t>ů</w:t>
      </w:r>
      <w:r w:rsidRPr="00215609">
        <w:rPr>
          <w:sz w:val="20"/>
          <w:szCs w:val="20"/>
        </w:rPr>
        <w:t xml:space="preserve"> (nap</w:t>
      </w:r>
      <w:r w:rsidRPr="009B1CEA">
        <w:rPr>
          <w:sz w:val="20"/>
          <w:szCs w:val="20"/>
        </w:rPr>
        <w:t>ř</w:t>
      </w:r>
      <w:r w:rsidRPr="00215609">
        <w:rPr>
          <w:sz w:val="20"/>
          <w:szCs w:val="20"/>
        </w:rPr>
        <w:t>. n</w:t>
      </w:r>
      <w:r w:rsidRPr="009B1CEA">
        <w:rPr>
          <w:sz w:val="20"/>
          <w:szCs w:val="20"/>
        </w:rPr>
        <w:t>á</w:t>
      </w:r>
      <w:r w:rsidRPr="00215609">
        <w:rPr>
          <w:sz w:val="20"/>
          <w:szCs w:val="20"/>
        </w:rPr>
        <w:t>klady, mzdy), nicm</w:t>
      </w:r>
      <w:r w:rsidRPr="009B1CEA">
        <w:rPr>
          <w:sz w:val="20"/>
          <w:szCs w:val="20"/>
        </w:rPr>
        <w:t>é</w:t>
      </w:r>
      <w:r w:rsidRPr="00215609">
        <w:rPr>
          <w:sz w:val="20"/>
          <w:szCs w:val="20"/>
        </w:rPr>
        <w:t>n</w:t>
      </w:r>
      <w:r w:rsidRPr="009B1CEA">
        <w:rPr>
          <w:sz w:val="20"/>
          <w:szCs w:val="20"/>
        </w:rPr>
        <w:t>ě</w:t>
      </w:r>
      <w:r w:rsidRPr="00215609">
        <w:rPr>
          <w:sz w:val="20"/>
          <w:szCs w:val="20"/>
        </w:rPr>
        <w:t xml:space="preserve"> z</w:t>
      </w:r>
      <w:r w:rsidRPr="009B1CEA">
        <w:rPr>
          <w:sz w:val="20"/>
          <w:szCs w:val="20"/>
        </w:rPr>
        <w:t>á</w:t>
      </w:r>
      <w:r w:rsidRPr="00215609">
        <w:rPr>
          <w:sz w:val="20"/>
          <w:szCs w:val="20"/>
        </w:rPr>
        <w:t>le</w:t>
      </w:r>
      <w:r w:rsidRPr="009B1CEA">
        <w:rPr>
          <w:sz w:val="20"/>
          <w:szCs w:val="20"/>
        </w:rPr>
        <w:t>ží</w:t>
      </w:r>
      <w:r w:rsidRPr="00215609">
        <w:rPr>
          <w:sz w:val="20"/>
          <w:szCs w:val="20"/>
        </w:rPr>
        <w:t xml:space="preserve"> tak</w:t>
      </w:r>
      <w:r w:rsidRPr="009B1CEA">
        <w:rPr>
          <w:sz w:val="20"/>
          <w:szCs w:val="20"/>
        </w:rPr>
        <w:t>é</w:t>
      </w:r>
      <w:r w:rsidRPr="00215609">
        <w:rPr>
          <w:sz w:val="20"/>
          <w:szCs w:val="20"/>
        </w:rPr>
        <w:t xml:space="preserve"> na z</w:t>
      </w:r>
      <w:r w:rsidRPr="009B1CEA">
        <w:rPr>
          <w:sz w:val="20"/>
          <w:szCs w:val="20"/>
        </w:rPr>
        <w:t>á</w:t>
      </w:r>
      <w:r w:rsidRPr="00215609">
        <w:rPr>
          <w:sz w:val="20"/>
          <w:szCs w:val="20"/>
        </w:rPr>
        <w:t>m</w:t>
      </w:r>
      <w:r w:rsidRPr="009B1CEA">
        <w:rPr>
          <w:sz w:val="20"/>
          <w:szCs w:val="20"/>
        </w:rPr>
        <w:t>ě</w:t>
      </w:r>
      <w:r w:rsidRPr="00215609">
        <w:rPr>
          <w:sz w:val="20"/>
          <w:szCs w:val="20"/>
        </w:rPr>
        <w:t>rech</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Nevýhody horizontální analýzy</w:t>
      </w:r>
    </w:p>
    <w:p w:rsidR="00961DB1" w:rsidRPr="00961DB1" w:rsidRDefault="00961DB1" w:rsidP="009B1CEA">
      <w:pPr>
        <w:pStyle w:val="Odstavecseseznamem"/>
        <w:numPr>
          <w:ilvl w:val="0"/>
          <w:numId w:val="14"/>
        </w:numPr>
        <w:rPr>
          <w:sz w:val="20"/>
          <w:szCs w:val="20"/>
        </w:rPr>
      </w:pPr>
      <w:r w:rsidRPr="00961DB1">
        <w:rPr>
          <w:sz w:val="20"/>
          <w:szCs w:val="20"/>
        </w:rPr>
        <w:t>nemusí být k dispozici hodnoty za předchozí období (nová firma, nový produkt, jiná metodika vykazování téže položky aj.)</w:t>
      </w:r>
    </w:p>
    <w:p w:rsidR="00961DB1" w:rsidRPr="00961DB1" w:rsidRDefault="00961DB1" w:rsidP="009B1CEA">
      <w:pPr>
        <w:pStyle w:val="Odstavecseseznamem"/>
        <w:numPr>
          <w:ilvl w:val="0"/>
          <w:numId w:val="14"/>
        </w:numPr>
        <w:rPr>
          <w:sz w:val="20"/>
          <w:szCs w:val="20"/>
        </w:rPr>
      </w:pPr>
      <w:r w:rsidRPr="00961DB1">
        <w:rPr>
          <w:sz w:val="20"/>
          <w:szCs w:val="20"/>
        </w:rPr>
        <w:t>podíl nelze spočítat, pokud je hodnota předchozího období nulová</w:t>
      </w:r>
    </w:p>
    <w:p w:rsidR="00961DB1" w:rsidRPr="00961DB1" w:rsidRDefault="00961DB1" w:rsidP="009B1CEA">
      <w:pPr>
        <w:pStyle w:val="Odstavecseseznamem"/>
        <w:numPr>
          <w:ilvl w:val="0"/>
          <w:numId w:val="14"/>
        </w:numPr>
        <w:rPr>
          <w:sz w:val="20"/>
          <w:szCs w:val="20"/>
        </w:rPr>
      </w:pPr>
      <w:r w:rsidRPr="00961DB1">
        <w:rPr>
          <w:sz w:val="20"/>
          <w:szCs w:val="20"/>
        </w:rPr>
        <w:t>pokud jsou v předchozím období záporné hodnoty, musí se vzorec pro výpočet relativní odchylky upravit</w:t>
      </w:r>
    </w:p>
    <w:p w:rsidR="00961DB1" w:rsidRDefault="00961DB1" w:rsidP="009B1CEA">
      <w:pPr>
        <w:pStyle w:val="Odstavecseseznamem"/>
        <w:numPr>
          <w:ilvl w:val="0"/>
          <w:numId w:val="14"/>
        </w:numPr>
        <w:rPr>
          <w:sz w:val="20"/>
          <w:szCs w:val="20"/>
        </w:rPr>
      </w:pPr>
      <w:r w:rsidRPr="00961DB1">
        <w:rPr>
          <w:sz w:val="20"/>
          <w:szCs w:val="20"/>
        </w:rPr>
        <w:t>ve výsledovce je nutné se zorientovat ve znaménkách (např. zda +10% znamená nárůst či pokles nákladů)</w:t>
      </w:r>
    </w:p>
    <w:p w:rsidR="00894686" w:rsidRPr="00894686" w:rsidRDefault="00894686" w:rsidP="00894686">
      <w:pPr>
        <w:ind w:left="360"/>
        <w:rPr>
          <w:sz w:val="20"/>
          <w:szCs w:val="20"/>
        </w:rPr>
      </w:pPr>
    </w:p>
    <w:p w:rsidR="00961DB1" w:rsidRPr="009B1CEA" w:rsidRDefault="00961DB1" w:rsidP="009B1CEA">
      <w:pPr>
        <w:pStyle w:val="Odstavecseseznamem"/>
        <w:numPr>
          <w:ilvl w:val="2"/>
          <w:numId w:val="11"/>
        </w:numPr>
        <w:spacing w:before="60" w:after="60"/>
        <w:rPr>
          <w:b/>
          <w:sz w:val="20"/>
          <w:szCs w:val="20"/>
        </w:rPr>
      </w:pPr>
      <w:r w:rsidRPr="009B1CEA">
        <w:rPr>
          <w:b/>
          <w:sz w:val="20"/>
          <w:szCs w:val="20"/>
        </w:rPr>
        <w:t>Vertikální analýza</w:t>
      </w:r>
    </w:p>
    <w:p w:rsidR="00961DB1" w:rsidRPr="00961DB1" w:rsidRDefault="00961DB1" w:rsidP="00961DB1">
      <w:pPr>
        <w:rPr>
          <w:sz w:val="20"/>
          <w:szCs w:val="20"/>
        </w:rPr>
      </w:pPr>
      <w:r w:rsidRPr="00961DB1">
        <w:rPr>
          <w:sz w:val="20"/>
          <w:szCs w:val="20"/>
        </w:rPr>
        <w:t>Metoda vertikální analýzy je založena na procentním rozboru finančních výkazů, vyčísluje procentuální podíl položek na celku. Příkladem je vyčíslení podílu jednotlivých položek majetku na celkových aktivech, podíl jednotlivých položek kapitálu na celkových pasivech. Je vhodné pracovat s delší časovou řadou.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Při vertikální analýze se posuzují jednotlivé komponenty majetku a kapitálu, tzv. struktura aktiv a pasiv subjektu. Ze struktury aktiv a pasiv je zřejmé, jaké je složení hospodářských prostředků potřebných pro aktivity subjektu a z jakých zdrojů (kapitálu) byly pořízeny. Na schopnosti vytvářet a udržovat rovnovážný stav majetku a kapitálu závisí ekonomická stabilita subjektu.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Označení vertikální analýza vznikla proto, že se při procentním vyjádření jednotlivých komponent postupuje v jednotlivých letech odshora dolů a nikoliv napříč jednotlivými roky.</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Tato jednoduchá analýza je velice působivá a napoví mnohé o ekonomice subjektu.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Vertikální analýza (též procentní rozbor komponent nebo strukturální analýza) spočívá v</w:t>
      </w:r>
      <w:r w:rsidR="00B93152">
        <w:rPr>
          <w:sz w:val="20"/>
          <w:szCs w:val="20"/>
        </w:rPr>
        <w:t> </w:t>
      </w:r>
      <w:r w:rsidRPr="00961DB1">
        <w:rPr>
          <w:sz w:val="20"/>
          <w:szCs w:val="20"/>
        </w:rPr>
        <w:t xml:space="preserve">tom, že se na jednotlivé položky účetních výkazů pohlíží v relaci k nějaké veličině, zjišťuje procentní podíl jednotlivých položek výkazů na zvoleném základu. Při analýze rozvahy bývají položky výkazu vyjádřeny jako procento z celkových aktiv, resp. </w:t>
      </w:r>
      <w:r w:rsidRPr="00961DB1">
        <w:rPr>
          <w:sz w:val="20"/>
          <w:szCs w:val="20"/>
        </w:rPr>
        <w:lastRenderedPageBreak/>
        <w:t>z</w:t>
      </w:r>
      <w:r w:rsidR="00B93152">
        <w:rPr>
          <w:sz w:val="20"/>
          <w:szCs w:val="20"/>
        </w:rPr>
        <w:t> </w:t>
      </w:r>
      <w:r w:rsidRPr="00961DB1">
        <w:rPr>
          <w:sz w:val="20"/>
          <w:szCs w:val="20"/>
        </w:rPr>
        <w:t>celkových pasiv, tedy z bilanční sumy. Ve výkazu zisku a ztráty se jako základ pro procentní vyjádření určité položky bere obvykle velikost celkových výnosů nebo tržeb.</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 xml:space="preserve">Tato technika umožní zkoumat relativní strukturu aktiv a pasiv a roli jednotlivých činitelů na tvorbě výsledku hospodaření. Pracuje s účetními výkazy v jednotlivých letech odshora dolů, nikoli napříč jednotlivými lety, proto se označuje jako vertikální analýza. Máme-li navíc vedle sebe údaje za dva roky či za více let, můžeme identifikovat trendy nebo nejzávažnější časové změny komponent. Relativizovaný rozměr veličin </w:t>
      </w:r>
      <w:r w:rsidR="00B0115B">
        <w:rPr>
          <w:sz w:val="20"/>
          <w:szCs w:val="20"/>
        </w:rPr>
        <w:t>(</w:t>
      </w:r>
      <w:r w:rsidRPr="00961DB1">
        <w:rPr>
          <w:sz w:val="20"/>
          <w:szCs w:val="20"/>
        </w:rPr>
        <w:t>v %</w:t>
      </w:r>
      <w:r w:rsidR="00B0115B">
        <w:rPr>
          <w:sz w:val="20"/>
          <w:szCs w:val="20"/>
        </w:rPr>
        <w:t>)</w:t>
      </w:r>
      <w:r w:rsidRPr="00961DB1">
        <w:rPr>
          <w:sz w:val="20"/>
          <w:szCs w:val="20"/>
        </w:rPr>
        <w:t xml:space="preserve"> činí vertikální analýzu velmi vhodným nástrojem pro meziroční srovnávání.</w:t>
      </w:r>
    </w:p>
    <w:p w:rsidR="00961DB1" w:rsidRPr="00961DB1" w:rsidRDefault="00961DB1" w:rsidP="00961DB1">
      <w:pPr>
        <w:rPr>
          <w:sz w:val="20"/>
          <w:szCs w:val="20"/>
        </w:rPr>
      </w:pPr>
    </w:p>
    <w:p w:rsidR="00961DB1" w:rsidRPr="00961DB1" w:rsidRDefault="00961DB1" w:rsidP="00961DB1">
      <w:pPr>
        <w:rPr>
          <w:sz w:val="20"/>
          <w:szCs w:val="20"/>
        </w:rPr>
      </w:pPr>
    </w:p>
    <w:p w:rsidR="00961DB1" w:rsidRPr="00961DB1" w:rsidRDefault="00961DB1" w:rsidP="00961DB1">
      <w:pPr>
        <w:rPr>
          <w:sz w:val="20"/>
          <w:szCs w:val="20"/>
        </w:rPr>
      </w:pPr>
    </w:p>
    <w:p w:rsidR="00961DB1" w:rsidRPr="00961DB1" w:rsidRDefault="00961DB1" w:rsidP="00961DB1">
      <w:pPr>
        <w:rPr>
          <w:sz w:val="20"/>
          <w:szCs w:val="20"/>
        </w:rPr>
      </w:pPr>
    </w:p>
    <w:p w:rsidR="00961DB1" w:rsidRPr="00357DF6" w:rsidRDefault="00961DB1" w:rsidP="00357DF6">
      <w:pPr>
        <w:pStyle w:val="AQE1"/>
        <w:numPr>
          <w:ilvl w:val="0"/>
          <w:numId w:val="6"/>
        </w:numPr>
        <w:rPr>
          <w:sz w:val="28"/>
          <w:szCs w:val="28"/>
          <w:lang w:val="cs-CZ"/>
        </w:rPr>
      </w:pPr>
      <w:bookmarkStart w:id="17" w:name="_Toc34910886"/>
      <w:r w:rsidRPr="00357DF6">
        <w:rPr>
          <w:sz w:val="28"/>
          <w:szCs w:val="28"/>
          <w:lang w:val="cs-CZ"/>
        </w:rPr>
        <w:lastRenderedPageBreak/>
        <w:t>Přehled nemovitého majetku města Slavkov u Brna</w:t>
      </w:r>
      <w:bookmarkEnd w:id="17"/>
    </w:p>
    <w:p w:rsidR="00961DB1" w:rsidRPr="00961DB1" w:rsidRDefault="00961DB1" w:rsidP="00961DB1">
      <w:pPr>
        <w:rPr>
          <w:sz w:val="20"/>
          <w:szCs w:val="20"/>
        </w:rPr>
      </w:pPr>
    </w:p>
    <w:p w:rsidR="00357DF6" w:rsidRPr="00357DF6" w:rsidRDefault="00357DF6" w:rsidP="00961DB1">
      <w:pPr>
        <w:rPr>
          <w:sz w:val="20"/>
          <w:szCs w:val="20"/>
        </w:rPr>
      </w:pPr>
      <w:r>
        <w:rPr>
          <w:sz w:val="20"/>
          <w:szCs w:val="20"/>
        </w:rPr>
        <w:t>Město Slavkov u Brna má katastrální území o rozloze 1 495 ha. Z této rozlohy patří městu 368 ha, což činí necelých 25% katastru. Jedná se o hodnotu blízkou celostátnímu průměru, obvyklou u mnoha dalších měst.</w:t>
      </w:r>
      <w:r w:rsidR="0099223A">
        <w:rPr>
          <w:sz w:val="20"/>
          <w:szCs w:val="20"/>
        </w:rPr>
        <w:t xml:space="preserve"> Na území města je vyhlášena městská památková zóna, zahrnující centrum s přilehlým zámeckým areálem. Ve městě se nalézají nemovité kulturní památky, a to v obou kategoriích ochrany – národní kulturní památka (jeden případ - zámecký areál) a kulturní památka (více případů), z nichž část je majetkem města.</w:t>
      </w:r>
    </w:p>
    <w:p w:rsidR="008E04E7" w:rsidRPr="008E04E7" w:rsidRDefault="008E04E7" w:rsidP="008E04E7">
      <w:pPr>
        <w:pStyle w:val="Odstavecseseznamem"/>
        <w:keepNext/>
        <w:numPr>
          <w:ilvl w:val="0"/>
          <w:numId w:val="1"/>
        </w:numPr>
        <w:spacing w:before="240" w:after="120" w:line="240" w:lineRule="auto"/>
        <w:contextualSpacing w:val="0"/>
        <w:jc w:val="left"/>
        <w:outlineLvl w:val="1"/>
        <w:rPr>
          <w:rFonts w:eastAsiaTheme="majorEastAsia" w:cs="Arial"/>
          <w:b/>
          <w:iCs/>
          <w:caps/>
          <w:vanish/>
          <w:color w:val="404040" w:themeColor="text1" w:themeTint="BF"/>
          <w:sz w:val="22"/>
          <w:szCs w:val="22"/>
          <w:lang w:val="en-US"/>
        </w:rPr>
      </w:pPr>
      <w:bookmarkStart w:id="18" w:name="_Toc25556735"/>
      <w:bookmarkStart w:id="19" w:name="_Toc25758199"/>
      <w:bookmarkStart w:id="20" w:name="_Toc34910887"/>
      <w:bookmarkEnd w:id="18"/>
      <w:bookmarkEnd w:id="19"/>
      <w:bookmarkEnd w:id="20"/>
    </w:p>
    <w:p w:rsidR="008E04E7" w:rsidRPr="008E04E7" w:rsidRDefault="008E04E7" w:rsidP="008E04E7">
      <w:pPr>
        <w:pStyle w:val="Odstavecseseznamem"/>
        <w:keepNext/>
        <w:numPr>
          <w:ilvl w:val="0"/>
          <w:numId w:val="1"/>
        </w:numPr>
        <w:spacing w:before="240" w:after="120" w:line="240" w:lineRule="auto"/>
        <w:contextualSpacing w:val="0"/>
        <w:jc w:val="left"/>
        <w:outlineLvl w:val="1"/>
        <w:rPr>
          <w:rFonts w:eastAsiaTheme="majorEastAsia" w:cs="Arial"/>
          <w:b/>
          <w:iCs/>
          <w:caps/>
          <w:vanish/>
          <w:color w:val="404040" w:themeColor="text1" w:themeTint="BF"/>
          <w:sz w:val="22"/>
          <w:szCs w:val="22"/>
          <w:lang w:val="en-US"/>
        </w:rPr>
      </w:pPr>
      <w:bookmarkStart w:id="21" w:name="_Toc25556736"/>
      <w:bookmarkStart w:id="22" w:name="_Toc25758200"/>
      <w:bookmarkStart w:id="23" w:name="_Toc34910888"/>
      <w:bookmarkEnd w:id="21"/>
      <w:bookmarkEnd w:id="22"/>
      <w:bookmarkEnd w:id="23"/>
    </w:p>
    <w:p w:rsidR="008E04E7" w:rsidRPr="008E04E7" w:rsidRDefault="008E04E7" w:rsidP="008E04E7">
      <w:pPr>
        <w:pStyle w:val="Odstavecseseznamem"/>
        <w:keepNext/>
        <w:numPr>
          <w:ilvl w:val="0"/>
          <w:numId w:val="1"/>
        </w:numPr>
        <w:spacing w:before="240" w:after="120" w:line="240" w:lineRule="auto"/>
        <w:contextualSpacing w:val="0"/>
        <w:jc w:val="left"/>
        <w:outlineLvl w:val="1"/>
        <w:rPr>
          <w:rFonts w:eastAsiaTheme="majorEastAsia" w:cs="Arial"/>
          <w:b/>
          <w:iCs/>
          <w:caps/>
          <w:vanish/>
          <w:color w:val="404040" w:themeColor="text1" w:themeTint="BF"/>
          <w:sz w:val="22"/>
          <w:szCs w:val="22"/>
          <w:lang w:val="en-US"/>
        </w:rPr>
      </w:pPr>
      <w:bookmarkStart w:id="24" w:name="_Toc25556737"/>
      <w:bookmarkStart w:id="25" w:name="_Toc25758201"/>
      <w:bookmarkStart w:id="26" w:name="_Toc34910889"/>
      <w:bookmarkEnd w:id="24"/>
      <w:bookmarkEnd w:id="25"/>
      <w:bookmarkEnd w:id="26"/>
    </w:p>
    <w:p w:rsidR="00961DB1" w:rsidRDefault="00961DB1" w:rsidP="008E04E7">
      <w:pPr>
        <w:pStyle w:val="Nadpis2"/>
        <w:numPr>
          <w:ilvl w:val="1"/>
          <w:numId w:val="19"/>
        </w:numPr>
        <w:pBdr>
          <w:bottom w:val="none" w:sz="0" w:space="0" w:color="auto"/>
        </w:pBdr>
        <w:rPr>
          <w:b/>
          <w:bCs w:val="0"/>
          <w:color w:val="404040" w:themeColor="text1" w:themeTint="BF"/>
          <w:sz w:val="22"/>
          <w:szCs w:val="22"/>
        </w:rPr>
      </w:pPr>
      <w:bookmarkStart w:id="27" w:name="_Toc34910890"/>
      <w:r w:rsidRPr="00357DF6">
        <w:rPr>
          <w:b/>
          <w:bCs w:val="0"/>
          <w:color w:val="404040" w:themeColor="text1" w:themeTint="BF"/>
          <w:sz w:val="22"/>
          <w:szCs w:val="22"/>
        </w:rPr>
        <w:t>Pozemky dle základních kategorií</w:t>
      </w:r>
      <w:bookmarkEnd w:id="27"/>
    </w:p>
    <w:p w:rsidR="00357DF6" w:rsidRPr="009C621B" w:rsidRDefault="009C621B" w:rsidP="00357DF6">
      <w:pPr>
        <w:rPr>
          <w:sz w:val="20"/>
          <w:szCs w:val="20"/>
        </w:rPr>
      </w:pPr>
      <w:r w:rsidRPr="009C621B">
        <w:rPr>
          <w:sz w:val="20"/>
          <w:szCs w:val="20"/>
        </w:rPr>
        <w:t xml:space="preserve">Městem vlastněné pozemky </w:t>
      </w:r>
      <w:r>
        <w:rPr>
          <w:sz w:val="20"/>
          <w:szCs w:val="20"/>
        </w:rPr>
        <w:t>lze rozčlenit do čtyř základních kategorií, jež jsou uvedeny v následující tabulce včetně rozlohy a účetní hodnoty tohoto majetku. Již zde si lze všimnout, že účetní hodnota je z hlediska vypovídací hodnoty velmi problematický ukazatel, což dokládá tabulka srovnávající současnou obvyklou (tržní) cenu s cenou účetní pro jednotlivé kategorie.</w:t>
      </w:r>
    </w:p>
    <w:p w:rsidR="00357DF6" w:rsidRDefault="00357DF6" w:rsidP="00357DF6">
      <w:pPr>
        <w:rPr>
          <w:lang w:val="en-US"/>
        </w:rPr>
      </w:pPr>
    </w:p>
    <w:p w:rsidR="0094240C" w:rsidRPr="00C76026" w:rsidRDefault="0094240C" w:rsidP="00C76026">
      <w:pPr>
        <w:pStyle w:val="tabulka"/>
        <w:numPr>
          <w:ilvl w:val="0"/>
          <w:numId w:val="32"/>
        </w:numPr>
        <w:tabs>
          <w:tab w:val="clear" w:pos="1418"/>
        </w:tabs>
        <w:spacing w:before="120" w:after="120"/>
        <w:ind w:left="1701" w:hanging="1701"/>
        <w:rPr>
          <w:sz w:val="20"/>
          <w:szCs w:val="20"/>
        </w:rPr>
      </w:pPr>
      <w:bookmarkStart w:id="28" w:name="_Toc25758066"/>
      <w:r w:rsidRPr="00C76026">
        <w:rPr>
          <w:sz w:val="20"/>
          <w:szCs w:val="20"/>
        </w:rPr>
        <w:t>Pozemky dle základních kategorií</w:t>
      </w:r>
      <w:bookmarkEnd w:id="28"/>
    </w:p>
    <w:tbl>
      <w:tblPr>
        <w:tblW w:w="9648" w:type="dxa"/>
        <w:tblInd w:w="61" w:type="dxa"/>
        <w:tblCellMar>
          <w:left w:w="70" w:type="dxa"/>
          <w:right w:w="70" w:type="dxa"/>
        </w:tblCellMar>
        <w:tblLook w:val="04A0" w:firstRow="1" w:lastRow="0" w:firstColumn="1" w:lastColumn="0" w:noHBand="0" w:noVBand="1"/>
      </w:tblPr>
      <w:tblGrid>
        <w:gridCol w:w="3837"/>
        <w:gridCol w:w="1701"/>
        <w:gridCol w:w="1984"/>
        <w:gridCol w:w="2126"/>
      </w:tblGrid>
      <w:tr w:rsidR="00357DF6" w:rsidRPr="00357DF6" w:rsidTr="00BF31D7">
        <w:trPr>
          <w:trHeight w:val="288"/>
        </w:trPr>
        <w:tc>
          <w:tcPr>
            <w:tcW w:w="383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left"/>
              <w:rPr>
                <w:rFonts w:eastAsia="Times New Roman" w:cs="Calibri"/>
                <w:b/>
                <w:color w:val="000000"/>
                <w:sz w:val="20"/>
                <w:szCs w:val="20"/>
              </w:rPr>
            </w:pPr>
            <w:r w:rsidRPr="00287E32">
              <w:rPr>
                <w:rFonts w:eastAsia="Times New Roman" w:cs="Calibri"/>
                <w:b/>
                <w:color w:val="000000"/>
                <w:sz w:val="20"/>
                <w:szCs w:val="20"/>
              </w:rPr>
              <w:t>Typ pozemku</w:t>
            </w:r>
          </w:p>
        </w:tc>
        <w:tc>
          <w:tcPr>
            <w:tcW w:w="1701" w:type="dxa"/>
            <w:tcBorders>
              <w:top w:val="single" w:sz="4" w:space="0" w:color="auto"/>
              <w:left w:val="nil"/>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center"/>
              <w:rPr>
                <w:rFonts w:eastAsia="Times New Roman" w:cs="Calibri"/>
                <w:b/>
                <w:color w:val="000000"/>
                <w:sz w:val="20"/>
                <w:szCs w:val="20"/>
              </w:rPr>
            </w:pPr>
            <w:r w:rsidRPr="00287E32">
              <w:rPr>
                <w:rFonts w:eastAsia="Times New Roman" w:cs="Calibri"/>
                <w:b/>
                <w:color w:val="000000"/>
                <w:sz w:val="20"/>
                <w:szCs w:val="20"/>
              </w:rPr>
              <w:t>rozloha v m</w:t>
            </w:r>
            <w:r w:rsidRPr="00B0115B">
              <w:rPr>
                <w:rFonts w:eastAsia="Times New Roman" w:cs="Calibri"/>
                <w:b/>
                <w:color w:val="000000"/>
                <w:sz w:val="20"/>
                <w:szCs w:val="20"/>
                <w:vertAlign w:val="superscript"/>
              </w:rPr>
              <w:t>2</w:t>
            </w:r>
          </w:p>
        </w:tc>
        <w:tc>
          <w:tcPr>
            <w:tcW w:w="1984" w:type="dxa"/>
            <w:tcBorders>
              <w:top w:val="single" w:sz="4" w:space="0" w:color="auto"/>
              <w:left w:val="nil"/>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center"/>
              <w:rPr>
                <w:rFonts w:eastAsia="Times New Roman" w:cs="Calibri"/>
                <w:b/>
                <w:color w:val="000000"/>
                <w:sz w:val="20"/>
                <w:szCs w:val="20"/>
              </w:rPr>
            </w:pPr>
            <w:r w:rsidRPr="00287E32">
              <w:rPr>
                <w:rFonts w:eastAsia="Times New Roman" w:cs="Calibri"/>
                <w:b/>
                <w:color w:val="000000"/>
                <w:sz w:val="20"/>
                <w:szCs w:val="20"/>
              </w:rPr>
              <w:t>účetní hodnota</w:t>
            </w:r>
          </w:p>
        </w:tc>
        <w:tc>
          <w:tcPr>
            <w:tcW w:w="2126" w:type="dxa"/>
            <w:tcBorders>
              <w:top w:val="single" w:sz="4" w:space="0" w:color="auto"/>
              <w:left w:val="nil"/>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left"/>
              <w:rPr>
                <w:rFonts w:eastAsia="Times New Roman" w:cs="Calibri"/>
                <w:b/>
                <w:color w:val="000000"/>
                <w:sz w:val="20"/>
                <w:szCs w:val="20"/>
              </w:rPr>
            </w:pPr>
            <w:r w:rsidRPr="00287E32">
              <w:rPr>
                <w:rFonts w:eastAsia="Times New Roman" w:cs="Calibri"/>
                <w:b/>
                <w:color w:val="000000"/>
                <w:sz w:val="20"/>
                <w:szCs w:val="20"/>
              </w:rPr>
              <w:t>umístění</w:t>
            </w:r>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les</w:t>
            </w:r>
            <w:r w:rsidR="009C621B">
              <w:rPr>
                <w:rFonts w:eastAsia="Times New Roman" w:cs="Calibri"/>
                <w:color w:val="000000"/>
                <w:sz w:val="18"/>
                <w:szCs w:val="18"/>
              </w:rPr>
              <w:t>y</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70 623,00</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236 969,00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9C621B">
              <w:rPr>
                <w:rFonts w:eastAsia="Times New Roman" w:cs="Calibri"/>
                <w:color w:val="000000"/>
                <w:sz w:val="18"/>
                <w:szCs w:val="18"/>
              </w:rPr>
              <w:t>extravilán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zahrady, vodní plochy, trvalý porost, vinice, sady</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372 204,00</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9 981 578,27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357DF6">
              <w:rPr>
                <w:rFonts w:eastAsia="Times New Roman" w:cs="Calibri"/>
                <w:color w:val="000000"/>
                <w:sz w:val="18"/>
                <w:szCs w:val="18"/>
              </w:rPr>
              <w:t>extravilán</w:t>
            </w:r>
            <w:proofErr w:type="spellEnd"/>
            <w:r w:rsidRPr="00357DF6">
              <w:rPr>
                <w:rFonts w:eastAsia="Times New Roman" w:cs="Calibri"/>
                <w:color w:val="000000"/>
                <w:sz w:val="18"/>
                <w:szCs w:val="18"/>
              </w:rPr>
              <w:t xml:space="preserve">, </w:t>
            </w:r>
            <w:proofErr w:type="spellStart"/>
            <w:r w:rsidRPr="00357DF6">
              <w:rPr>
                <w:rFonts w:eastAsia="Times New Roman" w:cs="Calibri"/>
                <w:color w:val="000000"/>
                <w:sz w:val="18"/>
                <w:szCs w:val="18"/>
              </w:rPr>
              <w:t>intravilán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zastavěná plocha</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60 251,56</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5 000 012,97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357DF6">
              <w:rPr>
                <w:rFonts w:eastAsia="Times New Roman" w:cs="Calibri"/>
                <w:color w:val="000000"/>
                <w:sz w:val="18"/>
                <w:szCs w:val="18"/>
              </w:rPr>
              <w:t>intravilán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zemědělská půda a ostatní plocha</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3 175 671,55</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35 737 014,97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357DF6">
              <w:rPr>
                <w:rFonts w:eastAsia="Times New Roman" w:cs="Calibri"/>
                <w:color w:val="000000"/>
                <w:sz w:val="18"/>
                <w:szCs w:val="18"/>
              </w:rPr>
              <w:t>extravilán</w:t>
            </w:r>
            <w:proofErr w:type="spellEnd"/>
            <w:r w:rsidRPr="00357DF6">
              <w:rPr>
                <w:rFonts w:eastAsia="Times New Roman" w:cs="Calibri"/>
                <w:color w:val="000000"/>
                <w:sz w:val="18"/>
                <w:szCs w:val="18"/>
              </w:rPr>
              <w:t xml:space="preserve">, </w:t>
            </w:r>
            <w:proofErr w:type="spellStart"/>
            <w:r w:rsidRPr="00357DF6">
              <w:rPr>
                <w:rFonts w:eastAsia="Times New Roman" w:cs="Calibri"/>
                <w:color w:val="000000"/>
                <w:sz w:val="18"/>
                <w:szCs w:val="18"/>
              </w:rPr>
              <w:t>intravilán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b/>
                <w:bCs/>
                <w:color w:val="000000"/>
                <w:sz w:val="18"/>
                <w:szCs w:val="18"/>
              </w:rPr>
            </w:pPr>
            <w:r w:rsidRPr="00357DF6">
              <w:rPr>
                <w:rFonts w:eastAsia="Times New Roman" w:cs="Calibri"/>
                <w:b/>
                <w:bCs/>
                <w:color w:val="000000"/>
                <w:sz w:val="18"/>
                <w:szCs w:val="18"/>
              </w:rPr>
              <w:t>celkem</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ascii="Calibri" w:eastAsia="Times New Roman" w:hAnsi="Calibri" w:cs="Calibri"/>
                <w:b/>
                <w:bCs/>
                <w:color w:val="000000"/>
                <w:sz w:val="22"/>
                <w:szCs w:val="22"/>
              </w:rPr>
            </w:pPr>
            <w:r w:rsidRPr="00357DF6">
              <w:rPr>
                <w:rFonts w:ascii="Calibri" w:eastAsia="Times New Roman" w:hAnsi="Calibri" w:cs="Calibri"/>
                <w:b/>
                <w:bCs/>
                <w:color w:val="000000"/>
                <w:sz w:val="22"/>
                <w:szCs w:val="22"/>
              </w:rPr>
              <w:t>3 678 750,11</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ascii="Calibri" w:eastAsia="Times New Roman" w:hAnsi="Calibri" w:cs="Calibri"/>
                <w:b/>
                <w:bCs/>
                <w:color w:val="000000"/>
                <w:sz w:val="22"/>
                <w:szCs w:val="22"/>
              </w:rPr>
            </w:pPr>
            <w:r w:rsidRPr="00357DF6">
              <w:rPr>
                <w:rFonts w:ascii="Calibri" w:eastAsia="Times New Roman" w:hAnsi="Calibri" w:cs="Calibri"/>
                <w:b/>
                <w:bCs/>
                <w:color w:val="000000"/>
                <w:sz w:val="22"/>
                <w:szCs w:val="22"/>
              </w:rPr>
              <w:t xml:space="preserve">50 955 575,21 Kč </w:t>
            </w:r>
          </w:p>
        </w:tc>
        <w:tc>
          <w:tcPr>
            <w:tcW w:w="2126" w:type="dxa"/>
            <w:tcBorders>
              <w:top w:val="nil"/>
              <w:left w:val="nil"/>
              <w:bottom w:val="nil"/>
              <w:right w:val="nil"/>
            </w:tcBorders>
            <w:shd w:val="clear" w:color="auto" w:fill="auto"/>
            <w:noWrap/>
            <w:vAlign w:val="center"/>
            <w:hideMark/>
          </w:tcPr>
          <w:p w:rsidR="00357DF6" w:rsidRPr="00357DF6" w:rsidRDefault="00357DF6" w:rsidP="00F855C9">
            <w:pPr>
              <w:spacing w:line="240" w:lineRule="auto"/>
              <w:jc w:val="left"/>
              <w:rPr>
                <w:rFonts w:ascii="Calibri" w:eastAsia="Times New Roman" w:hAnsi="Calibri" w:cs="Calibri"/>
                <w:color w:val="000000"/>
                <w:sz w:val="22"/>
                <w:szCs w:val="22"/>
              </w:rPr>
            </w:pPr>
          </w:p>
        </w:tc>
      </w:tr>
    </w:tbl>
    <w:p w:rsidR="00961DB1" w:rsidRDefault="00961DB1" w:rsidP="00961DB1">
      <w:pPr>
        <w:rPr>
          <w:sz w:val="20"/>
          <w:szCs w:val="20"/>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29" w:name="_Toc25758067"/>
      <w:r>
        <w:rPr>
          <w:sz w:val="20"/>
          <w:szCs w:val="20"/>
        </w:rPr>
        <w:t>Srovnání účetní hodnoty a odhadu tržní ceny u jednotlivých druhů pozemků</w:t>
      </w:r>
      <w:bookmarkEnd w:id="29"/>
    </w:p>
    <w:tbl>
      <w:tblPr>
        <w:tblW w:w="9648" w:type="dxa"/>
        <w:tblInd w:w="61" w:type="dxa"/>
        <w:tblCellMar>
          <w:left w:w="70" w:type="dxa"/>
          <w:right w:w="70" w:type="dxa"/>
        </w:tblCellMar>
        <w:tblLook w:val="04A0" w:firstRow="1" w:lastRow="0" w:firstColumn="1" w:lastColumn="0" w:noHBand="0" w:noVBand="1"/>
      </w:tblPr>
      <w:tblGrid>
        <w:gridCol w:w="3837"/>
        <w:gridCol w:w="2126"/>
        <w:gridCol w:w="1984"/>
        <w:gridCol w:w="1701"/>
      </w:tblGrid>
      <w:tr w:rsidR="00966792" w:rsidRPr="00BF31D7" w:rsidTr="00BF31D7">
        <w:trPr>
          <w:trHeight w:val="324"/>
        </w:trPr>
        <w:tc>
          <w:tcPr>
            <w:tcW w:w="383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Typ pozemku</w:t>
            </w:r>
          </w:p>
        </w:tc>
        <w:tc>
          <w:tcPr>
            <w:tcW w:w="2126" w:type="dxa"/>
            <w:tcBorders>
              <w:top w:val="single" w:sz="4" w:space="0" w:color="auto"/>
              <w:left w:val="nil"/>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umístění</w:t>
            </w:r>
          </w:p>
        </w:tc>
        <w:tc>
          <w:tcPr>
            <w:tcW w:w="1984" w:type="dxa"/>
            <w:tcBorders>
              <w:top w:val="single" w:sz="4" w:space="0" w:color="auto"/>
              <w:left w:val="nil"/>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účetní hodnota / m</w:t>
            </w:r>
            <w:r w:rsidRPr="00B0115B">
              <w:rPr>
                <w:rFonts w:eastAsia="Times New Roman" w:cs="Calibri"/>
                <w:b/>
                <w:color w:val="000000"/>
                <w:sz w:val="20"/>
                <w:szCs w:val="20"/>
                <w:vertAlign w:val="superscript"/>
              </w:rPr>
              <w:t>2</w:t>
            </w:r>
          </w:p>
        </w:tc>
        <w:tc>
          <w:tcPr>
            <w:tcW w:w="1701" w:type="dxa"/>
            <w:tcBorders>
              <w:top w:val="single" w:sz="4" w:space="0" w:color="auto"/>
              <w:left w:val="nil"/>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odhad / m</w:t>
            </w:r>
            <w:r w:rsidRPr="00B0115B">
              <w:rPr>
                <w:rFonts w:eastAsia="Times New Roman" w:cs="Calibri"/>
                <w:b/>
                <w:color w:val="000000"/>
                <w:sz w:val="20"/>
                <w:szCs w:val="20"/>
                <w:vertAlign w:val="superscript"/>
              </w:rPr>
              <w:t>2</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lesy</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extravilán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3,36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100,00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zahrady, vodní plochy, trvalý porost, vinice, sady</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extravilán</w:t>
            </w:r>
            <w:proofErr w:type="spellEnd"/>
            <w:r w:rsidRPr="00966792">
              <w:rPr>
                <w:rFonts w:eastAsia="Times New Roman" w:cs="Calibri"/>
                <w:color w:val="000000"/>
                <w:sz w:val="18"/>
                <w:szCs w:val="18"/>
              </w:rPr>
              <w:t xml:space="preserve">, </w:t>
            </w:r>
            <w:proofErr w:type="spellStart"/>
            <w:r w:rsidRPr="00966792">
              <w:rPr>
                <w:rFonts w:eastAsia="Times New Roman" w:cs="Calibri"/>
                <w:color w:val="000000"/>
                <w:sz w:val="18"/>
                <w:szCs w:val="18"/>
              </w:rPr>
              <w:t>intravilán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26,82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500,00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zastavěná plocha</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intravilán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82,99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7 000,00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zemědělská půda a ostatní plocha</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 xml:space="preserve"> </w:t>
            </w:r>
            <w:proofErr w:type="spellStart"/>
            <w:r w:rsidRPr="00966792">
              <w:rPr>
                <w:rFonts w:eastAsia="Times New Roman" w:cs="Calibri"/>
                <w:color w:val="000000"/>
                <w:sz w:val="18"/>
                <w:szCs w:val="18"/>
              </w:rPr>
              <w:t>intravilán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23,52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1 500,00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zemědělská půda a ostatní plocha</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extravilán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9,68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30,00 Kč </w:t>
            </w:r>
          </w:p>
        </w:tc>
      </w:tr>
    </w:tbl>
    <w:p w:rsidR="00357DF6" w:rsidRDefault="00357DF6" w:rsidP="00961DB1">
      <w:pPr>
        <w:rPr>
          <w:sz w:val="20"/>
          <w:szCs w:val="20"/>
        </w:rPr>
      </w:pPr>
    </w:p>
    <w:p w:rsidR="00961DB1" w:rsidRPr="008E04E7" w:rsidRDefault="00961DB1" w:rsidP="008E04E7">
      <w:pPr>
        <w:pStyle w:val="Nadpis2"/>
        <w:numPr>
          <w:ilvl w:val="1"/>
          <w:numId w:val="19"/>
        </w:numPr>
        <w:pBdr>
          <w:bottom w:val="none" w:sz="0" w:space="0" w:color="auto"/>
        </w:pBdr>
        <w:rPr>
          <w:b/>
          <w:bCs w:val="0"/>
          <w:color w:val="404040" w:themeColor="text1" w:themeTint="BF"/>
          <w:sz w:val="22"/>
          <w:szCs w:val="22"/>
        </w:rPr>
      </w:pPr>
      <w:bookmarkStart w:id="30" w:name="_Toc34910891"/>
      <w:r w:rsidRPr="00966792">
        <w:rPr>
          <w:b/>
          <w:bCs w:val="0"/>
          <w:color w:val="404040" w:themeColor="text1" w:themeTint="BF"/>
          <w:sz w:val="22"/>
          <w:szCs w:val="22"/>
        </w:rPr>
        <w:t>Obytné domy (budovy)</w:t>
      </w:r>
      <w:bookmarkEnd w:id="30"/>
    </w:p>
    <w:p w:rsidR="00966792" w:rsidRDefault="00966792" w:rsidP="00961DB1">
      <w:pPr>
        <w:rPr>
          <w:sz w:val="20"/>
          <w:szCs w:val="20"/>
        </w:rPr>
      </w:pPr>
      <w:r>
        <w:rPr>
          <w:sz w:val="20"/>
          <w:szCs w:val="20"/>
        </w:rPr>
        <w:t>Město v současné době má v plném vlastnictví 29 bytových domů. Jde ale o okamžitý stav, kdy jsou započteny i domy vystavěné městem v roce 2000 za finanční prostředky nájemníků s tím, že je smluvně ujednán následný převod těchto domů do vlastnictví</w:t>
      </w:r>
      <w:r w:rsidR="00E10B9F">
        <w:rPr>
          <w:sz w:val="20"/>
          <w:szCs w:val="20"/>
        </w:rPr>
        <w:t xml:space="preserve"> současných nájemníků</w:t>
      </w:r>
      <w:r>
        <w:rPr>
          <w:sz w:val="20"/>
          <w:szCs w:val="20"/>
        </w:rPr>
        <w:t>. Takto vložené prostředky umořují nájem po dobu 20 let a poté dojde k převodu, tj. v příštím roce město pozbude 8 domů takto vystavěných a zůstane mu 21 bytových domů</w:t>
      </w:r>
      <w:r w:rsidR="00E6711F">
        <w:rPr>
          <w:sz w:val="20"/>
          <w:szCs w:val="20"/>
        </w:rPr>
        <w:t>, z toho jeden se specifickým určením</w:t>
      </w:r>
      <w:r w:rsidR="00E10B9F">
        <w:rPr>
          <w:sz w:val="20"/>
          <w:szCs w:val="20"/>
        </w:rPr>
        <w:t xml:space="preserve"> chráněného bydlení pro staré a zdravotně hendikepované osoby</w:t>
      </w:r>
      <w:r w:rsidR="00E6711F">
        <w:rPr>
          <w:sz w:val="20"/>
          <w:szCs w:val="20"/>
        </w:rPr>
        <w:t xml:space="preserve"> (DPS</w:t>
      </w:r>
      <w:r w:rsidR="00E10B9F">
        <w:rPr>
          <w:sz w:val="20"/>
          <w:szCs w:val="20"/>
        </w:rPr>
        <w:t xml:space="preserve"> Polní 1444</w:t>
      </w:r>
      <w:r w:rsidR="00E6711F">
        <w:rPr>
          <w:sz w:val="20"/>
          <w:szCs w:val="20"/>
        </w:rPr>
        <w:t>)</w:t>
      </w:r>
      <w:r>
        <w:rPr>
          <w:sz w:val="20"/>
          <w:szCs w:val="20"/>
        </w:rPr>
        <w:t>. Bytové domy se nalézají ve třech ucelených obytných lokalitách – Zlatá hora, Nádražní a Litavská, čtvrtou tvoří roztroušené domy v centru města</w:t>
      </w:r>
      <w:r w:rsidR="00301BD0">
        <w:rPr>
          <w:sz w:val="20"/>
          <w:szCs w:val="20"/>
        </w:rPr>
        <w:t>.</w:t>
      </w:r>
    </w:p>
    <w:p w:rsidR="00301BD0" w:rsidRDefault="00301BD0" w:rsidP="00961DB1">
      <w:pPr>
        <w:rPr>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1"/>
          <w:numId w:val="21"/>
        </w:numPr>
        <w:spacing w:before="60" w:after="60"/>
        <w:rPr>
          <w:b/>
          <w:vanish/>
          <w:sz w:val="20"/>
          <w:szCs w:val="20"/>
        </w:rPr>
      </w:pPr>
    </w:p>
    <w:p w:rsidR="008E04E7" w:rsidRPr="008E04E7" w:rsidRDefault="008E04E7" w:rsidP="008E04E7">
      <w:pPr>
        <w:pStyle w:val="Odstavecseseznamem"/>
        <w:numPr>
          <w:ilvl w:val="1"/>
          <w:numId w:val="21"/>
        </w:numPr>
        <w:spacing w:before="60" w:after="60"/>
        <w:rPr>
          <w:b/>
          <w:vanish/>
          <w:sz w:val="20"/>
          <w:szCs w:val="20"/>
        </w:rPr>
      </w:pPr>
    </w:p>
    <w:p w:rsidR="00301BD0" w:rsidRPr="008E04E7" w:rsidRDefault="00301BD0" w:rsidP="008E04E7">
      <w:pPr>
        <w:pStyle w:val="Odstavecseseznamem"/>
        <w:numPr>
          <w:ilvl w:val="2"/>
          <w:numId w:val="21"/>
        </w:numPr>
        <w:spacing w:before="60" w:after="60"/>
        <w:ind w:left="426" w:hanging="426"/>
        <w:rPr>
          <w:b/>
          <w:sz w:val="20"/>
          <w:szCs w:val="20"/>
        </w:rPr>
      </w:pPr>
      <w:r w:rsidRPr="008E04E7">
        <w:rPr>
          <w:b/>
          <w:sz w:val="20"/>
          <w:szCs w:val="20"/>
        </w:rPr>
        <w:t>Lokalita Zlatá hora</w:t>
      </w:r>
    </w:p>
    <w:p w:rsidR="00301BD0" w:rsidRDefault="00301BD0" w:rsidP="00961DB1">
      <w:pPr>
        <w:rPr>
          <w:sz w:val="20"/>
          <w:szCs w:val="20"/>
        </w:rPr>
      </w:pPr>
      <w:r>
        <w:rPr>
          <w:sz w:val="20"/>
          <w:szCs w:val="20"/>
        </w:rPr>
        <w:t>V této lokalitě se nalézá sídliště vybudované v 70. letech minulého století, jedná se o</w:t>
      </w:r>
      <w:r w:rsidR="00B93152">
        <w:rPr>
          <w:sz w:val="20"/>
          <w:szCs w:val="20"/>
        </w:rPr>
        <w:t> </w:t>
      </w:r>
      <w:r>
        <w:rPr>
          <w:sz w:val="20"/>
          <w:szCs w:val="20"/>
        </w:rPr>
        <w:t xml:space="preserve">první sídliště vybudované ve městě. </w:t>
      </w:r>
      <w:r w:rsidR="00D22115">
        <w:rPr>
          <w:sz w:val="20"/>
          <w:szCs w:val="20"/>
        </w:rPr>
        <w:t>Sídliště prošlo dílčí rekonstrukcí, která byla realizována v delším časovém horizontu a prováděli ji jednotliví vlastníci (město a SVJ). Městu zde patří 4 samostatně stojící objekty se sedmi popisnými čísly (3 + 2 + 1 + 1 vchodů / čísel).</w:t>
      </w:r>
      <w:r w:rsidR="00882E5F">
        <w:rPr>
          <w:sz w:val="20"/>
          <w:szCs w:val="20"/>
        </w:rPr>
        <w:t xml:space="preserve"> </w:t>
      </w:r>
      <w:r w:rsidR="003E1F1C">
        <w:rPr>
          <w:sz w:val="20"/>
          <w:szCs w:val="20"/>
        </w:rPr>
        <w:t xml:space="preserve">Domy jsou vystavěny z betonových panelů a jejich stav je uspokojivý. </w:t>
      </w:r>
      <w:r w:rsidR="00882E5F">
        <w:rPr>
          <w:sz w:val="20"/>
          <w:szCs w:val="20"/>
        </w:rPr>
        <w:t>Lokalita se nachází nedaleko od centra města, přímo přiléhá k areálu škol a polikliniky. V místě je supermarket řetězce „Hruška“.</w:t>
      </w:r>
    </w:p>
    <w:p w:rsidR="003A7B4A" w:rsidRDefault="003A7B4A" w:rsidP="00961DB1">
      <w:pPr>
        <w:rPr>
          <w:sz w:val="20"/>
          <w:szCs w:val="20"/>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31" w:name="_Toc25758068"/>
      <w:r>
        <w:rPr>
          <w:sz w:val="20"/>
          <w:szCs w:val="20"/>
        </w:rPr>
        <w:t>Seznam bytových domů v lokalitě Zlatá hora</w:t>
      </w:r>
      <w:bookmarkEnd w:id="31"/>
    </w:p>
    <w:tbl>
      <w:tblPr>
        <w:tblW w:w="9356" w:type="dxa"/>
        <w:tblInd w:w="61" w:type="dxa"/>
        <w:tblCellMar>
          <w:left w:w="70" w:type="dxa"/>
          <w:right w:w="70" w:type="dxa"/>
        </w:tblCellMar>
        <w:tblLook w:val="04A0" w:firstRow="1" w:lastRow="0" w:firstColumn="1" w:lastColumn="0" w:noHBand="0" w:noVBand="1"/>
      </w:tblPr>
      <w:tblGrid>
        <w:gridCol w:w="1994"/>
        <w:gridCol w:w="1417"/>
        <w:gridCol w:w="1345"/>
        <w:gridCol w:w="1640"/>
        <w:gridCol w:w="1500"/>
        <w:gridCol w:w="1460"/>
      </w:tblGrid>
      <w:tr w:rsidR="003A7B4A" w:rsidRPr="003A7B4A" w:rsidTr="00701509">
        <w:trPr>
          <w:trHeight w:val="498"/>
        </w:trPr>
        <w:tc>
          <w:tcPr>
            <w:tcW w:w="1994"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701509">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701509" w:rsidP="00701509">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003A7B4A"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003A7B4A"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701509" w:rsidP="000243DB">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Pořizovací hodnota </w:t>
            </w:r>
            <w:r w:rsidR="000243DB">
              <w:rPr>
                <w:rFonts w:ascii="Calibri" w:eastAsia="Times New Roman" w:hAnsi="Calibri" w:cs="Calibri"/>
                <w:b/>
                <w:bCs/>
                <w:color w:val="000000"/>
                <w:sz w:val="22"/>
                <w:szCs w:val="22"/>
              </w:rPr>
              <w:t>(</w:t>
            </w:r>
            <w:r w:rsidR="003A7B4A"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003A7B4A"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003A7B4A" w:rsidRPr="003A7B4A">
              <w:rPr>
                <w:rFonts w:ascii="Calibri" w:eastAsia="Times New Roman" w:hAnsi="Calibri" w:cs="Calibri"/>
                <w:b/>
                <w:bCs/>
                <w:color w:val="000000"/>
                <w:sz w:val="22"/>
                <w:szCs w:val="22"/>
              </w:rPr>
              <w:t>Kč</w:t>
            </w:r>
            <w:r w:rsidR="000243DB">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701509">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sidR="000243DB">
              <w:rPr>
                <w:rFonts w:ascii="Calibri" w:eastAsia="Times New Roman" w:hAnsi="Calibri" w:cs="Calibri"/>
                <w:b/>
                <w:bCs/>
                <w:color w:val="000000"/>
                <w:sz w:val="22"/>
                <w:szCs w:val="22"/>
              </w:rPr>
              <w:t>(</w:t>
            </w:r>
            <w:r w:rsidR="000243DB" w:rsidRPr="003A7B4A">
              <w:rPr>
                <w:rFonts w:ascii="Calibri" w:eastAsia="Times New Roman" w:hAnsi="Calibri" w:cs="Calibri"/>
                <w:b/>
                <w:bCs/>
                <w:color w:val="000000"/>
                <w:sz w:val="22"/>
                <w:szCs w:val="22"/>
              </w:rPr>
              <w:t>v</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tis.</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Kč</w:t>
            </w:r>
            <w:r w:rsidR="000243DB">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9869E9">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sidR="000243DB">
              <w:rPr>
                <w:rFonts w:ascii="Calibri" w:eastAsia="Times New Roman" w:hAnsi="Calibri" w:cs="Calibri"/>
                <w:b/>
                <w:bCs/>
                <w:color w:val="000000"/>
                <w:sz w:val="22"/>
                <w:szCs w:val="22"/>
              </w:rPr>
              <w:t>(</w:t>
            </w:r>
            <w:r w:rsidR="000243DB" w:rsidRPr="003A7B4A">
              <w:rPr>
                <w:rFonts w:ascii="Calibri" w:eastAsia="Times New Roman" w:hAnsi="Calibri" w:cs="Calibri"/>
                <w:b/>
                <w:bCs/>
                <w:color w:val="000000"/>
                <w:sz w:val="22"/>
                <w:szCs w:val="22"/>
              </w:rPr>
              <w:t>v</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tis.</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Kč</w:t>
            </w:r>
            <w:r w:rsidR="000243DB">
              <w:rPr>
                <w:rFonts w:ascii="Calibri" w:eastAsia="Times New Roman" w:hAnsi="Calibri" w:cs="Calibri"/>
                <w:b/>
                <w:bCs/>
                <w:color w:val="000000"/>
                <w:sz w:val="22"/>
                <w:szCs w:val="22"/>
              </w:rPr>
              <w:t>)</w:t>
            </w:r>
          </w:p>
        </w:tc>
      </w:tr>
      <w:tr w:rsidR="003A7B4A" w:rsidRPr="003A7B4A" w:rsidTr="00701509">
        <w:trPr>
          <w:trHeight w:val="684"/>
        </w:trPr>
        <w:tc>
          <w:tcPr>
            <w:tcW w:w="1994"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45"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1227</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1 797,96</w:t>
            </w:r>
          </w:p>
        </w:tc>
        <w:tc>
          <w:tcPr>
            <w:tcW w:w="150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1 325,99</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21 564,10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1228</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12</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8 765,49</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7 605,88</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20 623,60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1229</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20 928,00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1230</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9</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23 603,20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1237</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749,73</w:t>
            </w:r>
          </w:p>
        </w:tc>
        <w:tc>
          <w:tcPr>
            <w:tcW w:w="150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552,92</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21 025,60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1357</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7 820,15</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6 669,16</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20 992,00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1358</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20 719,60</w:t>
            </w:r>
          </w:p>
        </w:tc>
      </w:tr>
      <w:tr w:rsidR="003A7B4A" w:rsidRPr="003A7B4A" w:rsidTr="00701509">
        <w:trPr>
          <w:trHeight w:val="406"/>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65</w:t>
            </w:r>
          </w:p>
        </w:tc>
        <w:tc>
          <w:tcPr>
            <w:tcW w:w="164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19 133,33</w:t>
            </w:r>
          </w:p>
        </w:tc>
        <w:tc>
          <w:tcPr>
            <w:tcW w:w="150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16 153,95</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149 456,10</w:t>
            </w:r>
          </w:p>
        </w:tc>
      </w:tr>
    </w:tbl>
    <w:p w:rsidR="003A7B4A" w:rsidRDefault="003A7B4A" w:rsidP="00961DB1">
      <w:pPr>
        <w:rPr>
          <w:sz w:val="20"/>
          <w:szCs w:val="20"/>
        </w:rPr>
      </w:pPr>
    </w:p>
    <w:p w:rsidR="003E1F1C" w:rsidRDefault="003E1F1C" w:rsidP="00961DB1">
      <w:pPr>
        <w:rPr>
          <w:sz w:val="20"/>
          <w:szCs w:val="20"/>
        </w:rPr>
      </w:pPr>
    </w:p>
    <w:p w:rsidR="00726FB6" w:rsidRDefault="00726FB6" w:rsidP="00961DB1">
      <w:pPr>
        <w:rPr>
          <w:sz w:val="20"/>
          <w:szCs w:val="20"/>
        </w:rPr>
      </w:pPr>
      <w:r>
        <w:rPr>
          <w:noProof/>
          <w:sz w:val="20"/>
          <w:szCs w:val="20"/>
        </w:rPr>
        <w:drawing>
          <wp:inline distT="0" distB="0" distL="0" distR="0">
            <wp:extent cx="2586736" cy="1718056"/>
            <wp:effectExtent l="19050" t="0" r="4064" b="0"/>
            <wp:docPr id="12" name="obrázek 8" descr="C:\temp\slavkov\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slavkov\DSC_0119.jpg"/>
                    <pic:cNvPicPr>
                      <a:picLocks noChangeAspect="1" noChangeArrowheads="1"/>
                    </pic:cNvPicPr>
                  </pic:nvPicPr>
                  <pic:blipFill>
                    <a:blip r:embed="rId13"/>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C907CE">
        <w:rPr>
          <w:noProof/>
          <w:sz w:val="20"/>
          <w:szCs w:val="20"/>
        </w:rPr>
        <w:drawing>
          <wp:inline distT="0" distB="0" distL="0" distR="0">
            <wp:extent cx="2586736" cy="1718056"/>
            <wp:effectExtent l="19050" t="0" r="4064" b="0"/>
            <wp:docPr id="13" name="obrázek 9" descr="C:\temp\slavkov\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slavkov\DSC_0122.jpg"/>
                    <pic:cNvPicPr>
                      <a:picLocks noChangeAspect="1" noChangeArrowheads="1"/>
                    </pic:cNvPicPr>
                  </pic:nvPicPr>
                  <pic:blipFill>
                    <a:blip r:embed="rId14"/>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9B694D" w:rsidP="00961DB1">
      <w:pPr>
        <w:rPr>
          <w:sz w:val="20"/>
          <w:szCs w:val="20"/>
        </w:rPr>
      </w:pPr>
      <w:r>
        <w:rPr>
          <w:sz w:val="20"/>
          <w:szCs w:val="20"/>
        </w:rPr>
        <w:t>Trojblok domů Zlatá hora</w:t>
      </w:r>
    </w:p>
    <w:p w:rsidR="00C907CE" w:rsidRDefault="00C907CE" w:rsidP="00961DB1">
      <w:pPr>
        <w:rPr>
          <w:sz w:val="20"/>
          <w:szCs w:val="20"/>
        </w:rPr>
      </w:pPr>
    </w:p>
    <w:p w:rsidR="00C907CE" w:rsidRDefault="00C907CE" w:rsidP="00961DB1">
      <w:pPr>
        <w:rPr>
          <w:noProof/>
          <w:sz w:val="20"/>
          <w:szCs w:val="20"/>
        </w:rPr>
      </w:pPr>
      <w:r>
        <w:rPr>
          <w:noProof/>
          <w:sz w:val="20"/>
          <w:szCs w:val="20"/>
        </w:rPr>
        <w:drawing>
          <wp:inline distT="0" distB="0" distL="0" distR="0">
            <wp:extent cx="2570480" cy="1704340"/>
            <wp:effectExtent l="19050" t="0" r="1270" b="0"/>
            <wp:docPr id="14" name="obrázek 10" descr="C:\temp\slavkov\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slavkov\DSC_0121.jpg"/>
                    <pic:cNvPicPr>
                      <a:picLocks noChangeAspect="1" noChangeArrowheads="1"/>
                    </pic:cNvPicPr>
                  </pic:nvPicPr>
                  <pic:blipFill>
                    <a:blip r:embed="rId15"/>
                    <a:srcRect/>
                    <a:stretch>
                      <a:fillRect/>
                    </a:stretch>
                  </pic:blipFill>
                  <pic:spPr bwMode="auto">
                    <a:xfrm>
                      <a:off x="0" y="0"/>
                      <a:ext cx="2570480" cy="1704340"/>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rPr>
        <w:drawing>
          <wp:inline distT="0" distB="0" distL="0" distR="0">
            <wp:extent cx="2586736" cy="1718056"/>
            <wp:effectExtent l="19050" t="0" r="4064" b="0"/>
            <wp:docPr id="15" name="obrázek 11" descr="C:\temp\slavkov\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slavkov\DSC_0124.jpg"/>
                    <pic:cNvPicPr>
                      <a:picLocks noChangeAspect="1" noChangeArrowheads="1"/>
                    </pic:cNvPicPr>
                  </pic:nvPicPr>
                  <pic:blipFill>
                    <a:blip r:embed="rId16"/>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3E1F1C" w:rsidRDefault="00D67BD0" w:rsidP="00961DB1">
      <w:pPr>
        <w:rPr>
          <w:noProof/>
          <w:sz w:val="20"/>
          <w:szCs w:val="20"/>
        </w:rPr>
      </w:pPr>
      <w:r>
        <w:rPr>
          <w:noProof/>
          <w:sz w:val="20"/>
          <w:szCs w:val="20"/>
        </w:rPr>
        <w:t>Sídliště Zlatá hora</w:t>
      </w:r>
      <w:r w:rsidR="009B694D">
        <w:rPr>
          <w:noProof/>
          <w:sz w:val="20"/>
          <w:szCs w:val="20"/>
        </w:rPr>
        <w:t xml:space="preserve"> (domy ve vlastnictví města)</w:t>
      </w:r>
    </w:p>
    <w:p w:rsidR="00301BD0" w:rsidRPr="00301BD0" w:rsidRDefault="00301BD0" w:rsidP="008E04E7">
      <w:pPr>
        <w:pStyle w:val="Odstavecseseznamem"/>
        <w:numPr>
          <w:ilvl w:val="2"/>
          <w:numId w:val="21"/>
        </w:numPr>
        <w:spacing w:before="60" w:after="60"/>
        <w:ind w:left="426" w:hanging="426"/>
        <w:rPr>
          <w:b/>
          <w:sz w:val="20"/>
          <w:szCs w:val="20"/>
        </w:rPr>
      </w:pPr>
      <w:r w:rsidRPr="00301BD0">
        <w:rPr>
          <w:b/>
          <w:sz w:val="20"/>
          <w:szCs w:val="20"/>
        </w:rPr>
        <w:lastRenderedPageBreak/>
        <w:t>Lokalita Nádražní</w:t>
      </w:r>
    </w:p>
    <w:p w:rsidR="00301BD0" w:rsidRDefault="00882E5F" w:rsidP="00961DB1">
      <w:pPr>
        <w:rPr>
          <w:sz w:val="20"/>
          <w:szCs w:val="20"/>
        </w:rPr>
      </w:pPr>
      <w:r>
        <w:rPr>
          <w:sz w:val="20"/>
          <w:szCs w:val="20"/>
        </w:rPr>
        <w:t xml:space="preserve">Jedná se o sídliště vystavěné přibližně o desetiletí později než předešlé. </w:t>
      </w:r>
      <w:r w:rsidR="005B3D6C">
        <w:rPr>
          <w:sz w:val="20"/>
          <w:szCs w:val="20"/>
        </w:rPr>
        <w:t xml:space="preserve">Město zde vlastní jeden bytový </w:t>
      </w:r>
      <w:r w:rsidR="00933C4F">
        <w:rPr>
          <w:sz w:val="20"/>
          <w:szCs w:val="20"/>
        </w:rPr>
        <w:t>troj</w:t>
      </w:r>
      <w:r w:rsidR="005B3D6C">
        <w:rPr>
          <w:sz w:val="20"/>
          <w:szCs w:val="20"/>
        </w:rPr>
        <w:t>d</w:t>
      </w:r>
      <w:r w:rsidR="00933C4F">
        <w:rPr>
          <w:sz w:val="20"/>
          <w:szCs w:val="20"/>
        </w:rPr>
        <w:t>ům (3 vchody (čísla</w:t>
      </w:r>
      <w:r w:rsidR="005B3D6C">
        <w:rPr>
          <w:sz w:val="20"/>
          <w:szCs w:val="20"/>
        </w:rPr>
        <w:t>)</w:t>
      </w:r>
      <w:r w:rsidR="00933C4F">
        <w:rPr>
          <w:sz w:val="20"/>
          <w:szCs w:val="20"/>
        </w:rPr>
        <w:t>, stavba ustupující po blocích dozadu)</w:t>
      </w:r>
      <w:r w:rsidR="005B3D6C">
        <w:rPr>
          <w:sz w:val="20"/>
          <w:szCs w:val="20"/>
        </w:rPr>
        <w:t xml:space="preserve"> a několik zbylých bytů v ostatních domech. </w:t>
      </w:r>
      <w:r w:rsidR="003E1F1C">
        <w:rPr>
          <w:sz w:val="20"/>
          <w:szCs w:val="20"/>
        </w:rPr>
        <w:t xml:space="preserve">Dům je postaven z betonových panelů a jeho stav je uspokojivý. </w:t>
      </w:r>
      <w:r w:rsidR="005B3D6C">
        <w:rPr>
          <w:sz w:val="20"/>
          <w:szCs w:val="20"/>
        </w:rPr>
        <w:t xml:space="preserve">Lokalita je na místní poměry hodně vzdálená centru dění, nemá ani žádné občanské vybavení, v místě je pouze menší pohostinství. </w:t>
      </w:r>
      <w:r w:rsidR="00933C4F">
        <w:rPr>
          <w:sz w:val="20"/>
          <w:szCs w:val="20"/>
        </w:rPr>
        <w:t xml:space="preserve">Současný stav </w:t>
      </w:r>
      <w:r w:rsidR="003E1F1C">
        <w:rPr>
          <w:sz w:val="20"/>
          <w:szCs w:val="20"/>
        </w:rPr>
        <w:t>místních komunikací a inženýrských sítí</w:t>
      </w:r>
      <w:r w:rsidR="00933C4F">
        <w:rPr>
          <w:sz w:val="20"/>
          <w:szCs w:val="20"/>
        </w:rPr>
        <w:t xml:space="preserve"> je hodně vzdálený dobrému stavu (město počítá s rekonstrukcí). </w:t>
      </w:r>
      <w:r w:rsidR="005B3D6C">
        <w:rPr>
          <w:sz w:val="20"/>
          <w:szCs w:val="20"/>
        </w:rPr>
        <w:t>Jediným kladem je bl</w:t>
      </w:r>
      <w:r w:rsidR="00933C4F">
        <w:rPr>
          <w:sz w:val="20"/>
          <w:szCs w:val="20"/>
        </w:rPr>
        <w:t>ízkost železniční stanice, kterou</w:t>
      </w:r>
      <w:r w:rsidR="005B3D6C">
        <w:rPr>
          <w:sz w:val="20"/>
          <w:szCs w:val="20"/>
        </w:rPr>
        <w:t xml:space="preserve"> ovšem ocení pouze lidé dojíždějící za prací mimo město.</w:t>
      </w:r>
    </w:p>
    <w:p w:rsidR="00893E76" w:rsidRDefault="00893E76" w:rsidP="00961DB1">
      <w:pPr>
        <w:rPr>
          <w:sz w:val="20"/>
          <w:szCs w:val="20"/>
        </w:rPr>
      </w:pPr>
    </w:p>
    <w:p w:rsidR="003A7B4A" w:rsidRDefault="00893E76" w:rsidP="00893E76">
      <w:pPr>
        <w:pStyle w:val="tabulka"/>
        <w:numPr>
          <w:ilvl w:val="0"/>
          <w:numId w:val="32"/>
        </w:numPr>
        <w:tabs>
          <w:tab w:val="clear" w:pos="1418"/>
        </w:tabs>
        <w:spacing w:before="120" w:after="120"/>
        <w:ind w:left="1701" w:hanging="1701"/>
        <w:rPr>
          <w:sz w:val="20"/>
          <w:szCs w:val="20"/>
        </w:rPr>
      </w:pPr>
      <w:bookmarkStart w:id="32" w:name="_Toc25758069"/>
      <w:r>
        <w:rPr>
          <w:sz w:val="20"/>
          <w:szCs w:val="20"/>
        </w:rPr>
        <w:t>Seznam bytových domů v lokalitě Nádražní</w:t>
      </w:r>
      <w:bookmarkEnd w:id="32"/>
    </w:p>
    <w:tbl>
      <w:tblPr>
        <w:tblW w:w="9362" w:type="dxa"/>
        <w:tblInd w:w="61" w:type="dxa"/>
        <w:tblCellMar>
          <w:left w:w="70" w:type="dxa"/>
          <w:right w:w="70" w:type="dxa"/>
        </w:tblCellMar>
        <w:tblLook w:val="04A0" w:firstRow="1" w:lastRow="0" w:firstColumn="1" w:lastColumn="0" w:noHBand="0" w:noVBand="1"/>
      </w:tblPr>
      <w:tblGrid>
        <w:gridCol w:w="2420"/>
        <w:gridCol w:w="1360"/>
        <w:gridCol w:w="982"/>
        <w:gridCol w:w="1640"/>
        <w:gridCol w:w="1500"/>
        <w:gridCol w:w="1460"/>
      </w:tblGrid>
      <w:tr w:rsidR="000243DB" w:rsidRPr="003A7B4A" w:rsidTr="000243DB">
        <w:trPr>
          <w:trHeight w:val="498"/>
        </w:trPr>
        <w:tc>
          <w:tcPr>
            <w:tcW w:w="242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Pořizovací hodnota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r>
      <w:tr w:rsidR="003A7B4A" w:rsidRPr="003A7B4A" w:rsidTr="000243DB">
        <w:trPr>
          <w:trHeight w:val="498"/>
        </w:trPr>
        <w:tc>
          <w:tcPr>
            <w:tcW w:w="242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982"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sídliště Nádražní 1191</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2 678,78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2 329,41</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24 789,20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sídliště Nádražní 1192</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2 678,78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2 329,41</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24 761,20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sídliště Nádražní 1193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2 678,78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2 329,41</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24 807,20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8 036,34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6 988,24</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74 357,60</w:t>
            </w:r>
          </w:p>
        </w:tc>
      </w:tr>
    </w:tbl>
    <w:p w:rsidR="003A7B4A" w:rsidRDefault="003A7B4A" w:rsidP="00961DB1">
      <w:pPr>
        <w:rPr>
          <w:sz w:val="20"/>
          <w:szCs w:val="20"/>
        </w:rPr>
      </w:pPr>
    </w:p>
    <w:p w:rsidR="00240A86" w:rsidRDefault="00C907CE" w:rsidP="00961DB1">
      <w:pPr>
        <w:rPr>
          <w:sz w:val="20"/>
          <w:szCs w:val="20"/>
        </w:rPr>
      </w:pPr>
      <w:r>
        <w:rPr>
          <w:noProof/>
          <w:sz w:val="20"/>
          <w:szCs w:val="20"/>
        </w:rPr>
        <w:drawing>
          <wp:inline distT="0" distB="0" distL="0" distR="0">
            <wp:extent cx="2586736" cy="1718056"/>
            <wp:effectExtent l="19050" t="0" r="4064" b="0"/>
            <wp:docPr id="16" name="obrázek 12" descr="C:\temp\slavkov\DSC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slavkov\DSC_0872.jpg"/>
                    <pic:cNvPicPr>
                      <a:picLocks noChangeAspect="1" noChangeArrowheads="1"/>
                    </pic:cNvPicPr>
                  </pic:nvPicPr>
                  <pic:blipFill>
                    <a:blip r:embed="rId17"/>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240A86">
        <w:rPr>
          <w:noProof/>
          <w:sz w:val="20"/>
          <w:szCs w:val="20"/>
        </w:rPr>
        <w:drawing>
          <wp:inline distT="0" distB="0" distL="0" distR="0">
            <wp:extent cx="2586736" cy="1718056"/>
            <wp:effectExtent l="19050" t="0" r="4064" b="0"/>
            <wp:docPr id="1" name="obrázek 1" descr="C:\temp\slavkov\DSC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lavkov\DSC_0870.jpg"/>
                    <pic:cNvPicPr>
                      <a:picLocks noChangeAspect="1" noChangeArrowheads="1"/>
                    </pic:cNvPicPr>
                  </pic:nvPicPr>
                  <pic:blipFill>
                    <a:blip r:embed="rId18"/>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Trojblok domů na sídlišti Nádražní</w:t>
      </w:r>
    </w:p>
    <w:p w:rsidR="003E1F1C" w:rsidRDefault="003E1F1C" w:rsidP="00961DB1">
      <w:pPr>
        <w:rPr>
          <w:sz w:val="20"/>
          <w:szCs w:val="20"/>
        </w:rPr>
      </w:pPr>
    </w:p>
    <w:p w:rsidR="00240A86" w:rsidRDefault="00240A86" w:rsidP="00961DB1">
      <w:pPr>
        <w:rPr>
          <w:sz w:val="20"/>
          <w:szCs w:val="20"/>
        </w:rPr>
      </w:pPr>
      <w:r>
        <w:rPr>
          <w:noProof/>
          <w:sz w:val="20"/>
          <w:szCs w:val="20"/>
        </w:rPr>
        <w:drawing>
          <wp:inline distT="0" distB="0" distL="0" distR="0">
            <wp:extent cx="2586736" cy="1718056"/>
            <wp:effectExtent l="19050" t="0" r="4064" b="0"/>
            <wp:docPr id="6" name="obrázek 2" descr="C:\temp\slavkov\DSC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873.jpg"/>
                    <pic:cNvPicPr>
                      <a:picLocks noChangeAspect="1" noChangeArrowheads="1"/>
                    </pic:cNvPicPr>
                  </pic:nvPicPr>
                  <pic:blipFill>
                    <a:blip r:embed="rId19"/>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073A51">
        <w:rPr>
          <w:sz w:val="20"/>
          <w:szCs w:val="20"/>
        </w:rPr>
        <w:t xml:space="preserve"> </w:t>
      </w:r>
      <w:r w:rsidR="00073A51">
        <w:rPr>
          <w:noProof/>
          <w:sz w:val="20"/>
          <w:szCs w:val="20"/>
        </w:rPr>
        <w:drawing>
          <wp:inline distT="0" distB="0" distL="0" distR="0">
            <wp:extent cx="2586736" cy="1718056"/>
            <wp:effectExtent l="19050" t="0" r="4064" b="0"/>
            <wp:docPr id="22" name="obrázek 3" descr="C:\temp\slavkov\DSC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slavkov\DSC_0871.jpg"/>
                    <pic:cNvPicPr>
                      <a:picLocks noChangeAspect="1" noChangeArrowheads="1"/>
                    </pic:cNvPicPr>
                  </pic:nvPicPr>
                  <pic:blipFill>
                    <a:blip r:embed="rId20"/>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240A86" w:rsidRDefault="00073A51" w:rsidP="00961DB1">
      <w:pPr>
        <w:rPr>
          <w:sz w:val="20"/>
          <w:szCs w:val="20"/>
        </w:rPr>
      </w:pPr>
      <w:r>
        <w:rPr>
          <w:sz w:val="20"/>
          <w:szCs w:val="20"/>
        </w:rPr>
        <w:t>Prostředí lokality Nádražní (domy nejsou ve vlastnictví města)</w:t>
      </w:r>
    </w:p>
    <w:p w:rsidR="00240A86" w:rsidRDefault="00240A86" w:rsidP="00961DB1">
      <w:pPr>
        <w:rPr>
          <w:sz w:val="20"/>
          <w:szCs w:val="20"/>
        </w:rPr>
      </w:pPr>
    </w:p>
    <w:p w:rsidR="00301BD0" w:rsidRPr="00301BD0" w:rsidRDefault="00301BD0" w:rsidP="008E04E7">
      <w:pPr>
        <w:pStyle w:val="Odstavecseseznamem"/>
        <w:numPr>
          <w:ilvl w:val="2"/>
          <w:numId w:val="21"/>
        </w:numPr>
        <w:spacing w:before="60" w:after="60"/>
        <w:ind w:left="426" w:hanging="426"/>
        <w:rPr>
          <w:b/>
          <w:sz w:val="20"/>
          <w:szCs w:val="20"/>
        </w:rPr>
      </w:pPr>
      <w:r w:rsidRPr="00301BD0">
        <w:rPr>
          <w:b/>
          <w:sz w:val="20"/>
          <w:szCs w:val="20"/>
        </w:rPr>
        <w:t>Lokalita Litavská</w:t>
      </w:r>
    </w:p>
    <w:p w:rsidR="00301BD0" w:rsidRDefault="00D22115" w:rsidP="00961DB1">
      <w:pPr>
        <w:rPr>
          <w:sz w:val="20"/>
          <w:szCs w:val="20"/>
        </w:rPr>
      </w:pPr>
      <w:r>
        <w:rPr>
          <w:sz w:val="20"/>
          <w:szCs w:val="20"/>
        </w:rPr>
        <w:t xml:space="preserve">Nejnovější bytová výstavba, na které má vlastnický podíl město. </w:t>
      </w:r>
      <w:r w:rsidR="00882E5F">
        <w:rPr>
          <w:sz w:val="20"/>
          <w:szCs w:val="20"/>
        </w:rPr>
        <w:t xml:space="preserve">Po převedení předplacených bytů do vlastnictví zůstane městu jeden celý dům (3 vchody / čísla) zkolaudovaný v roce 2002 a jeden vchod (z 3) v dalším domě, zkolaudovaném v roce 2000. Na kraji se nalézá další dům ve vlastnictví města – dům chráněného bydlení (DPS). </w:t>
      </w:r>
      <w:r w:rsidR="003E1F1C">
        <w:rPr>
          <w:sz w:val="20"/>
          <w:szCs w:val="20"/>
        </w:rPr>
        <w:lastRenderedPageBreak/>
        <w:t xml:space="preserve">Domy jsou vystavěny z cihel, cihlových bloků a tvárnic, jejich stav je uspokojivý. </w:t>
      </w:r>
      <w:r w:rsidR="00882E5F">
        <w:rPr>
          <w:sz w:val="20"/>
          <w:szCs w:val="20"/>
        </w:rPr>
        <w:t>Lokalita je nedaleko centra města, s velmi dobrou dostupností škol a polikliniky. V místě je supermarket „Coop“.</w:t>
      </w:r>
    </w:p>
    <w:p w:rsidR="003A7B4A" w:rsidRPr="003C3104" w:rsidRDefault="003A7B4A" w:rsidP="00961DB1">
      <w:pPr>
        <w:rPr>
          <w:sz w:val="16"/>
          <w:szCs w:val="16"/>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33" w:name="_Toc25758070"/>
      <w:r>
        <w:rPr>
          <w:sz w:val="20"/>
          <w:szCs w:val="20"/>
        </w:rPr>
        <w:t>Seznam bytových domů v lokalitě Litavská</w:t>
      </w:r>
      <w:bookmarkEnd w:id="33"/>
    </w:p>
    <w:tbl>
      <w:tblPr>
        <w:tblW w:w="9362" w:type="dxa"/>
        <w:tblInd w:w="61" w:type="dxa"/>
        <w:tblCellMar>
          <w:left w:w="70" w:type="dxa"/>
          <w:right w:w="70" w:type="dxa"/>
        </w:tblCellMar>
        <w:tblLook w:val="04A0" w:firstRow="1" w:lastRow="0" w:firstColumn="1" w:lastColumn="0" w:noHBand="0" w:noVBand="1"/>
      </w:tblPr>
      <w:tblGrid>
        <w:gridCol w:w="2420"/>
        <w:gridCol w:w="1360"/>
        <w:gridCol w:w="982"/>
        <w:gridCol w:w="1640"/>
        <w:gridCol w:w="1500"/>
        <w:gridCol w:w="1460"/>
      </w:tblGrid>
      <w:tr w:rsidR="000243DB" w:rsidRPr="003A7B4A" w:rsidTr="000243DB">
        <w:trPr>
          <w:trHeight w:val="498"/>
        </w:trPr>
        <w:tc>
          <w:tcPr>
            <w:tcW w:w="242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Pořizovací hodnota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r>
      <w:tr w:rsidR="003A7B4A" w:rsidRPr="003A7B4A" w:rsidTr="000243DB">
        <w:trPr>
          <w:trHeight w:val="498"/>
        </w:trPr>
        <w:tc>
          <w:tcPr>
            <w:tcW w:w="242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982"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Polní 1444</w:t>
            </w:r>
            <w:r w:rsidR="001F230F">
              <w:rPr>
                <w:rFonts w:ascii="Calibri" w:eastAsia="Times New Roman" w:hAnsi="Calibri" w:cs="Calibri"/>
                <w:color w:val="000000"/>
                <w:sz w:val="22"/>
                <w:szCs w:val="22"/>
              </w:rPr>
              <w:t xml:space="preserve"> (DPS)</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25</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62</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50 369,39</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38 501,09</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63 200,00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1482</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2 766,83</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8 169,60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1496</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15 847,36</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12 826,45</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11 265,00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1497</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11 265,00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1498</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11 265,00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85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69 730,18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54 094,38</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105 164,60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1484</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1485</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1486</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1487</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1488</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3 915,87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3 034,79</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1489</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3 915,87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3 034,79</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1490</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3 915,87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3 034,79</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bl>
    <w:p w:rsidR="003A7B4A" w:rsidRDefault="003A7B4A" w:rsidP="00961DB1">
      <w:pPr>
        <w:rPr>
          <w:sz w:val="20"/>
          <w:szCs w:val="20"/>
        </w:rPr>
      </w:pPr>
    </w:p>
    <w:p w:rsidR="003E1F1C" w:rsidRDefault="00C907CE" w:rsidP="00961DB1">
      <w:pPr>
        <w:rPr>
          <w:sz w:val="20"/>
          <w:szCs w:val="20"/>
        </w:rPr>
      </w:pPr>
      <w:r>
        <w:rPr>
          <w:noProof/>
          <w:sz w:val="20"/>
          <w:szCs w:val="20"/>
        </w:rPr>
        <w:drawing>
          <wp:inline distT="0" distB="0" distL="0" distR="0">
            <wp:extent cx="2586736" cy="1718056"/>
            <wp:effectExtent l="19050" t="0" r="4064" b="0"/>
            <wp:docPr id="17" name="obrázek 13" descr="C:\temp\slavkov\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slavkov\DSC_0134.jpg"/>
                    <pic:cNvPicPr>
                      <a:picLocks noChangeAspect="1" noChangeArrowheads="1"/>
                    </pic:cNvPicPr>
                  </pic:nvPicPr>
                  <pic:blipFill>
                    <a:blip r:embed="rId21"/>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18" name="obrázek 14" descr="C:\temp\slavkov\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slavkov\DSC_0137.jpg"/>
                    <pic:cNvPicPr>
                      <a:picLocks noChangeAspect="1" noChangeArrowheads="1"/>
                    </pic:cNvPicPr>
                  </pic:nvPicPr>
                  <pic:blipFill>
                    <a:blip r:embed="rId22"/>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Trojblok domů na Litavské</w:t>
      </w:r>
      <w:r w:rsidR="009B694D">
        <w:rPr>
          <w:sz w:val="20"/>
          <w:szCs w:val="20"/>
        </w:rPr>
        <w:t xml:space="preserve"> (zepředu a zezadu)</w:t>
      </w:r>
    </w:p>
    <w:p w:rsidR="00C907CE" w:rsidRDefault="00C907CE"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0" name="obrázek 16" descr="C:\temp\slavkov\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slavkov\DSC_0133.jpg"/>
                    <pic:cNvPicPr>
                      <a:picLocks noChangeAspect="1" noChangeArrowheads="1"/>
                    </pic:cNvPicPr>
                  </pic:nvPicPr>
                  <pic:blipFill>
                    <a:blip r:embed="rId23"/>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19" name="obrázek 15" descr="C:\temp\slavkov\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slavkov\DSC_0144.jpg"/>
                    <pic:cNvPicPr>
                      <a:picLocks noChangeAspect="1" noChangeArrowheads="1"/>
                    </pic:cNvPicPr>
                  </pic:nvPicPr>
                  <pic:blipFill>
                    <a:blip r:embed="rId24"/>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 xml:space="preserve">Litavská  </w:t>
      </w:r>
      <w:r w:rsidR="00C16878">
        <w:rPr>
          <w:sz w:val="20"/>
          <w:szCs w:val="20"/>
        </w:rPr>
        <w:tab/>
      </w:r>
      <w:r w:rsidR="00C16878">
        <w:rPr>
          <w:sz w:val="20"/>
          <w:szCs w:val="20"/>
        </w:rPr>
        <w:tab/>
      </w:r>
      <w:r w:rsidR="00C16878">
        <w:rPr>
          <w:sz w:val="20"/>
          <w:szCs w:val="20"/>
        </w:rPr>
        <w:tab/>
      </w:r>
      <w:r w:rsidR="00C16878">
        <w:rPr>
          <w:sz w:val="20"/>
          <w:szCs w:val="20"/>
        </w:rPr>
        <w:tab/>
      </w:r>
      <w:r w:rsidR="00C16878">
        <w:rPr>
          <w:sz w:val="20"/>
          <w:szCs w:val="20"/>
        </w:rPr>
        <w:tab/>
      </w:r>
      <w:r>
        <w:rPr>
          <w:sz w:val="20"/>
          <w:szCs w:val="20"/>
        </w:rPr>
        <w:t>DPS Polní 1444</w:t>
      </w:r>
    </w:p>
    <w:p w:rsidR="00301BD0" w:rsidRPr="008E04E7" w:rsidRDefault="00301BD0" w:rsidP="008E04E7">
      <w:pPr>
        <w:pStyle w:val="Odstavecseseznamem"/>
        <w:numPr>
          <w:ilvl w:val="2"/>
          <w:numId w:val="21"/>
        </w:numPr>
        <w:spacing w:before="60" w:after="60"/>
        <w:ind w:left="426" w:hanging="426"/>
        <w:rPr>
          <w:b/>
          <w:sz w:val="20"/>
          <w:szCs w:val="20"/>
        </w:rPr>
      </w:pPr>
      <w:r w:rsidRPr="00301BD0">
        <w:rPr>
          <w:b/>
          <w:sz w:val="20"/>
          <w:szCs w:val="20"/>
        </w:rPr>
        <w:lastRenderedPageBreak/>
        <w:t>Lokalita centrum</w:t>
      </w:r>
    </w:p>
    <w:p w:rsidR="00966792" w:rsidRDefault="009E7BBC" w:rsidP="00961DB1">
      <w:pPr>
        <w:rPr>
          <w:sz w:val="20"/>
          <w:szCs w:val="20"/>
        </w:rPr>
      </w:pPr>
      <w:r>
        <w:rPr>
          <w:sz w:val="20"/>
          <w:szCs w:val="20"/>
        </w:rPr>
        <w:t xml:space="preserve">Jedná se o jednotlivé historické domy v úplném centru města, z nichž část je kulturními památkami, jedinou výjimkou je bytový dům na ulici Bučovické. </w:t>
      </w:r>
      <w:r w:rsidR="003E1F1C">
        <w:rPr>
          <w:sz w:val="20"/>
          <w:szCs w:val="20"/>
        </w:rPr>
        <w:t xml:space="preserve">V této lokalitě město vlastní celkem šest domů, ve kterých jsou bytové jednotky. </w:t>
      </w:r>
      <w:r>
        <w:rPr>
          <w:sz w:val="20"/>
          <w:szCs w:val="20"/>
        </w:rPr>
        <w:t xml:space="preserve">Domy jsou nestandardní, tomu odpovídá specifičnost bytů, </w:t>
      </w:r>
      <w:r w:rsidR="00B75B3A">
        <w:rPr>
          <w:sz w:val="20"/>
          <w:szCs w:val="20"/>
        </w:rPr>
        <w:t xml:space="preserve">jsou postaveny převážně z cihel a tvárnic </w:t>
      </w:r>
      <w:r>
        <w:rPr>
          <w:sz w:val="20"/>
          <w:szCs w:val="20"/>
        </w:rPr>
        <w:t xml:space="preserve">a naprostá většina by potřebovala velkou rekonstrukci. </w:t>
      </w:r>
      <w:r w:rsidR="00B75B3A">
        <w:rPr>
          <w:sz w:val="20"/>
          <w:szCs w:val="20"/>
        </w:rPr>
        <w:t>Pouze jeden dům je v uspokojivém stavu a</w:t>
      </w:r>
      <w:r w:rsidR="00B93152">
        <w:rPr>
          <w:sz w:val="20"/>
          <w:szCs w:val="20"/>
        </w:rPr>
        <w:t> </w:t>
      </w:r>
      <w:r w:rsidR="00B75B3A">
        <w:rPr>
          <w:sz w:val="20"/>
          <w:szCs w:val="20"/>
        </w:rPr>
        <w:t>jeden další je v současné době rekonstruován.</w:t>
      </w:r>
    </w:p>
    <w:p w:rsidR="003A7B4A" w:rsidRDefault="003A7B4A" w:rsidP="00961DB1">
      <w:pPr>
        <w:rPr>
          <w:sz w:val="20"/>
          <w:szCs w:val="20"/>
        </w:rPr>
      </w:pPr>
    </w:p>
    <w:p w:rsidR="00893E76" w:rsidRPr="009C51DC" w:rsidRDefault="00893E76" w:rsidP="00893E76">
      <w:pPr>
        <w:pStyle w:val="tabulka"/>
        <w:numPr>
          <w:ilvl w:val="0"/>
          <w:numId w:val="32"/>
        </w:numPr>
        <w:tabs>
          <w:tab w:val="clear" w:pos="1418"/>
        </w:tabs>
        <w:spacing w:before="120" w:after="120"/>
        <w:ind w:left="1701" w:hanging="1701"/>
        <w:rPr>
          <w:sz w:val="20"/>
          <w:szCs w:val="20"/>
        </w:rPr>
      </w:pPr>
      <w:bookmarkStart w:id="34" w:name="_Toc25758071"/>
      <w:r w:rsidRPr="009C51DC">
        <w:rPr>
          <w:sz w:val="20"/>
          <w:szCs w:val="20"/>
        </w:rPr>
        <w:t>Seznam bytových domů v centru</w:t>
      </w:r>
      <w:bookmarkEnd w:id="34"/>
    </w:p>
    <w:tbl>
      <w:tblPr>
        <w:tblW w:w="9362" w:type="dxa"/>
        <w:tblInd w:w="61" w:type="dxa"/>
        <w:tblCellMar>
          <w:left w:w="70" w:type="dxa"/>
          <w:right w:w="70" w:type="dxa"/>
        </w:tblCellMar>
        <w:tblLook w:val="04A0" w:firstRow="1" w:lastRow="0" w:firstColumn="1" w:lastColumn="0" w:noHBand="0" w:noVBand="1"/>
      </w:tblPr>
      <w:tblGrid>
        <w:gridCol w:w="2420"/>
        <w:gridCol w:w="1360"/>
        <w:gridCol w:w="982"/>
        <w:gridCol w:w="1640"/>
        <w:gridCol w:w="1500"/>
        <w:gridCol w:w="1460"/>
      </w:tblGrid>
      <w:tr w:rsidR="000243DB" w:rsidRPr="003A7B4A" w:rsidTr="009869E9">
        <w:trPr>
          <w:trHeight w:val="498"/>
        </w:trPr>
        <w:tc>
          <w:tcPr>
            <w:tcW w:w="242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Pořizovací hodnota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r>
      <w:tr w:rsidR="003A7B4A" w:rsidRPr="003A7B4A" w:rsidTr="009869E9">
        <w:trPr>
          <w:trHeight w:val="699"/>
        </w:trPr>
        <w:tc>
          <w:tcPr>
            <w:tcW w:w="242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982"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1C2650" w:rsidRPr="003A7B4A" w:rsidTr="001C2650">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Koláčkovo náměstí 108</w:t>
            </w:r>
          </w:p>
        </w:tc>
        <w:tc>
          <w:tcPr>
            <w:tcW w:w="1360"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100 a více</w:t>
            </w:r>
          </w:p>
        </w:tc>
        <w:tc>
          <w:tcPr>
            <w:tcW w:w="982"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1C2650">
            <w:pPr>
              <w:spacing w:line="240" w:lineRule="auto"/>
              <w:jc w:val="right"/>
              <w:rPr>
                <w:rFonts w:ascii="Calibri" w:eastAsia="Times New Roman" w:hAnsi="Calibri" w:cs="Calibri"/>
                <w:color w:val="000000"/>
                <w:sz w:val="22"/>
                <w:szCs w:val="22"/>
              </w:rPr>
            </w:pPr>
            <w:r w:rsidRPr="00DA1BFC">
              <w:rPr>
                <w:rFonts w:eastAsia="Times New Roman"/>
                <w:color w:val="000000"/>
                <w:sz w:val="18"/>
                <w:szCs w:val="18"/>
              </w:rPr>
              <w:t>1</w:t>
            </w:r>
            <w:r>
              <w:rPr>
                <w:rFonts w:eastAsia="Times New Roman"/>
                <w:color w:val="000000"/>
                <w:sz w:val="18"/>
                <w:szCs w:val="18"/>
              </w:rPr>
              <w:t> </w:t>
            </w:r>
            <w:r w:rsidRPr="00DA1BFC">
              <w:rPr>
                <w:rFonts w:eastAsia="Times New Roman"/>
                <w:color w:val="000000"/>
                <w:sz w:val="18"/>
                <w:szCs w:val="18"/>
              </w:rPr>
              <w:t>355</w:t>
            </w:r>
            <w:r>
              <w:rPr>
                <w:rFonts w:eastAsia="Times New Roman"/>
                <w:color w:val="000000"/>
                <w:sz w:val="18"/>
                <w:szCs w:val="18"/>
              </w:rPr>
              <w:t>,</w:t>
            </w:r>
            <w:r w:rsidRPr="00DA1BFC">
              <w:rPr>
                <w:rFonts w:eastAsia="Times New Roman"/>
                <w:color w:val="000000"/>
                <w:sz w:val="18"/>
                <w:szCs w:val="18"/>
              </w:rPr>
              <w:t>0</w:t>
            </w:r>
            <w:r>
              <w:rPr>
                <w:rFonts w:eastAsia="Times New Roman"/>
                <w:color w:val="000000"/>
                <w:sz w:val="18"/>
                <w:szCs w:val="18"/>
              </w:rPr>
              <w:t>3</w:t>
            </w:r>
          </w:p>
        </w:tc>
        <w:tc>
          <w:tcPr>
            <w:tcW w:w="1500" w:type="dxa"/>
            <w:tcBorders>
              <w:top w:val="nil"/>
              <w:left w:val="nil"/>
              <w:bottom w:val="single" w:sz="4" w:space="0" w:color="auto"/>
              <w:right w:val="single" w:sz="4" w:space="0" w:color="auto"/>
            </w:tcBorders>
            <w:shd w:val="clear" w:color="auto" w:fill="auto"/>
            <w:vAlign w:val="bottom"/>
          </w:tcPr>
          <w:p w:rsidR="001C2650" w:rsidRPr="003A7B4A" w:rsidRDefault="009C51DC" w:rsidP="003F1A3B">
            <w:pPr>
              <w:spacing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nezjištěno</w:t>
            </w:r>
          </w:p>
        </w:tc>
        <w:tc>
          <w:tcPr>
            <w:tcW w:w="1460"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15 000,00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Fügnerova 109</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100 a více</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2 302,60</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1 580,50</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13 025,70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Fügnerova 110</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60-70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681,77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630,98</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10 682,10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Palackého náměstí 123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100 a více</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2 255,38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1 503,58</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19 280,00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Bučovická 187</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1 231,49</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820,99</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6 600,00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Úzká 643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70-80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626,14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417,42</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6 475,80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33</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01369C" w:rsidP="003A7B4A">
            <w:pPr>
              <w:spacing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8 452,41</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4 953,47</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71 063,60</w:t>
            </w:r>
          </w:p>
        </w:tc>
      </w:tr>
    </w:tbl>
    <w:p w:rsidR="003A7B4A" w:rsidRDefault="003A7B4A" w:rsidP="00961DB1">
      <w:pPr>
        <w:rPr>
          <w:sz w:val="20"/>
          <w:szCs w:val="20"/>
        </w:rPr>
      </w:pPr>
    </w:p>
    <w:p w:rsidR="00966792" w:rsidRDefault="00726FB6" w:rsidP="00961DB1">
      <w:pPr>
        <w:rPr>
          <w:sz w:val="20"/>
          <w:szCs w:val="20"/>
        </w:rPr>
      </w:pPr>
      <w:r>
        <w:rPr>
          <w:noProof/>
          <w:sz w:val="20"/>
          <w:szCs w:val="20"/>
        </w:rPr>
        <w:drawing>
          <wp:inline distT="0" distB="0" distL="0" distR="0">
            <wp:extent cx="2586736" cy="1718056"/>
            <wp:effectExtent l="19050" t="0" r="4064" b="0"/>
            <wp:docPr id="4" name="obrázek 1" descr="C:\temp\slavkov\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lavkov\DSC_0090.jpg"/>
                    <pic:cNvPicPr>
                      <a:picLocks noChangeAspect="1" noChangeArrowheads="1"/>
                    </pic:cNvPicPr>
                  </pic:nvPicPr>
                  <pic:blipFill>
                    <a:blip r:embed="rId25"/>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5" name="obrázek 2" descr="C:\temp\slavkov\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091.jpg"/>
                    <pic:cNvPicPr>
                      <a:picLocks noChangeAspect="1" noChangeArrowheads="1"/>
                    </pic:cNvPicPr>
                  </pic:nvPicPr>
                  <pic:blipFill>
                    <a:blip r:embed="rId26"/>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726FB6" w:rsidRDefault="00D67BD0" w:rsidP="00961DB1">
      <w:pPr>
        <w:rPr>
          <w:sz w:val="20"/>
          <w:szCs w:val="20"/>
        </w:rPr>
      </w:pPr>
      <w:r>
        <w:rPr>
          <w:sz w:val="20"/>
          <w:szCs w:val="20"/>
        </w:rPr>
        <w:t>Palackého náměstí</w:t>
      </w:r>
    </w:p>
    <w:p w:rsidR="00726FB6" w:rsidRDefault="00726FB6" w:rsidP="00961DB1">
      <w:pPr>
        <w:rPr>
          <w:sz w:val="20"/>
          <w:szCs w:val="20"/>
        </w:rPr>
      </w:pPr>
    </w:p>
    <w:p w:rsidR="003E1F1C" w:rsidRDefault="00726FB6" w:rsidP="00961DB1">
      <w:pPr>
        <w:rPr>
          <w:sz w:val="20"/>
          <w:szCs w:val="20"/>
        </w:rPr>
      </w:pPr>
      <w:r>
        <w:rPr>
          <w:noProof/>
          <w:sz w:val="20"/>
          <w:szCs w:val="20"/>
        </w:rPr>
        <w:drawing>
          <wp:inline distT="0" distB="0" distL="0" distR="0">
            <wp:extent cx="2586736" cy="1718056"/>
            <wp:effectExtent l="19050" t="0" r="4064" b="0"/>
            <wp:docPr id="7" name="obrázek 3" descr="C:\temp\slavkov\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slavkov\DSC_0094.jpg"/>
                    <pic:cNvPicPr>
                      <a:picLocks noChangeAspect="1" noChangeArrowheads="1"/>
                    </pic:cNvPicPr>
                  </pic:nvPicPr>
                  <pic:blipFill>
                    <a:blip r:embed="rId27"/>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8" name="obrázek 4" descr="C:\temp\slavkov\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slavkov\DSC_0108.jpg"/>
                    <pic:cNvPicPr>
                      <a:picLocks noChangeAspect="1" noChangeArrowheads="1"/>
                    </pic:cNvPicPr>
                  </pic:nvPicPr>
                  <pic:blipFill>
                    <a:blip r:embed="rId28"/>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Fügnerova 109 a 110</w:t>
      </w:r>
    </w:p>
    <w:p w:rsidR="00726FB6" w:rsidRDefault="00726FB6" w:rsidP="00961DB1">
      <w:pPr>
        <w:rPr>
          <w:sz w:val="20"/>
          <w:szCs w:val="20"/>
        </w:rPr>
      </w:pPr>
    </w:p>
    <w:p w:rsidR="005608EF" w:rsidRDefault="00726FB6" w:rsidP="00961DB1">
      <w:pPr>
        <w:rPr>
          <w:noProof/>
          <w:sz w:val="20"/>
          <w:szCs w:val="20"/>
        </w:rPr>
      </w:pPr>
      <w:r>
        <w:rPr>
          <w:noProof/>
          <w:sz w:val="20"/>
          <w:szCs w:val="20"/>
        </w:rPr>
        <w:lastRenderedPageBreak/>
        <w:drawing>
          <wp:inline distT="0" distB="0" distL="0" distR="0">
            <wp:extent cx="2586736" cy="1718056"/>
            <wp:effectExtent l="19050" t="0" r="4064" b="0"/>
            <wp:docPr id="9" name="obrázek 5" descr="C:\temp\slavkov\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slavkov\DSC_0107.jpg"/>
                    <pic:cNvPicPr>
                      <a:picLocks noChangeAspect="1" noChangeArrowheads="1"/>
                    </pic:cNvPicPr>
                  </pic:nvPicPr>
                  <pic:blipFill>
                    <a:blip r:embed="rId29"/>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5608EF">
        <w:rPr>
          <w:noProof/>
          <w:sz w:val="20"/>
          <w:szCs w:val="20"/>
        </w:rPr>
        <w:t xml:space="preserve"> </w:t>
      </w:r>
      <w:r w:rsidR="005608EF">
        <w:rPr>
          <w:noProof/>
          <w:sz w:val="20"/>
          <w:szCs w:val="20"/>
        </w:rPr>
        <w:drawing>
          <wp:inline distT="0" distB="0" distL="0" distR="0">
            <wp:extent cx="2603754" cy="1729359"/>
            <wp:effectExtent l="19050" t="0" r="6096" b="0"/>
            <wp:docPr id="32" name="obrázek 2" descr="C:\temp\slavkov\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095.jpg"/>
                    <pic:cNvPicPr>
                      <a:picLocks noChangeAspect="1" noChangeArrowheads="1"/>
                    </pic:cNvPicPr>
                  </pic:nvPicPr>
                  <pic:blipFill>
                    <a:blip r:embed="rId30"/>
                    <a:srcRect/>
                    <a:stretch>
                      <a:fillRect/>
                    </a:stretch>
                  </pic:blipFill>
                  <pic:spPr bwMode="auto">
                    <a:xfrm>
                      <a:off x="0" y="0"/>
                      <a:ext cx="2603754" cy="1729359"/>
                    </a:xfrm>
                    <a:prstGeom prst="rect">
                      <a:avLst/>
                    </a:prstGeom>
                    <a:noFill/>
                    <a:ln w="9525">
                      <a:noFill/>
                      <a:miter lim="800000"/>
                      <a:headEnd/>
                      <a:tailEnd/>
                    </a:ln>
                  </pic:spPr>
                </pic:pic>
              </a:graphicData>
            </a:graphic>
          </wp:inline>
        </w:drawing>
      </w:r>
    </w:p>
    <w:p w:rsidR="005608EF" w:rsidRDefault="005608EF" w:rsidP="00961DB1">
      <w:pPr>
        <w:rPr>
          <w:sz w:val="20"/>
          <w:szCs w:val="20"/>
        </w:rPr>
      </w:pPr>
      <w:r>
        <w:rPr>
          <w:sz w:val="20"/>
          <w:szCs w:val="20"/>
        </w:rPr>
        <w:t>Koláčkovo náměstí 108</w:t>
      </w:r>
    </w:p>
    <w:p w:rsidR="005608EF" w:rsidRDefault="005608EF" w:rsidP="00961DB1">
      <w:pPr>
        <w:rPr>
          <w:sz w:val="20"/>
          <w:szCs w:val="20"/>
        </w:rPr>
      </w:pPr>
    </w:p>
    <w:p w:rsidR="00726FB6" w:rsidRDefault="00726FB6" w:rsidP="005608EF">
      <w:pPr>
        <w:rPr>
          <w:sz w:val="20"/>
          <w:szCs w:val="20"/>
        </w:rPr>
      </w:pPr>
      <w:r>
        <w:rPr>
          <w:noProof/>
          <w:sz w:val="20"/>
          <w:szCs w:val="20"/>
        </w:rPr>
        <w:drawing>
          <wp:inline distT="0" distB="0" distL="0" distR="0">
            <wp:extent cx="2586736" cy="1718056"/>
            <wp:effectExtent l="19050" t="0" r="4064" b="0"/>
            <wp:docPr id="10" name="obrázek 6" descr="C:\temp\slavkov\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slavkov\DSC_0092.jpg"/>
                    <pic:cNvPicPr>
                      <a:picLocks noChangeAspect="1" noChangeArrowheads="1"/>
                    </pic:cNvPicPr>
                  </pic:nvPicPr>
                  <pic:blipFill>
                    <a:blip r:embed="rId31"/>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5608EF">
        <w:rPr>
          <w:sz w:val="20"/>
          <w:szCs w:val="20"/>
        </w:rPr>
        <w:t xml:space="preserve"> </w:t>
      </w:r>
      <w:r w:rsidR="005608EF">
        <w:rPr>
          <w:noProof/>
          <w:sz w:val="20"/>
          <w:szCs w:val="20"/>
        </w:rPr>
        <w:drawing>
          <wp:inline distT="0" distB="0" distL="0" distR="0">
            <wp:extent cx="2586736" cy="1718056"/>
            <wp:effectExtent l="19050" t="0" r="4064" b="0"/>
            <wp:docPr id="33" name="obrázek 7" descr="C:\temp\slavkov\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slavkov\DSC_0127.jpg"/>
                    <pic:cNvPicPr>
                      <a:picLocks noChangeAspect="1" noChangeArrowheads="1"/>
                    </pic:cNvPicPr>
                  </pic:nvPicPr>
                  <pic:blipFill>
                    <a:blip r:embed="rId32"/>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5608EF" w:rsidP="00961DB1">
      <w:pPr>
        <w:rPr>
          <w:sz w:val="20"/>
          <w:szCs w:val="20"/>
        </w:rPr>
      </w:pPr>
      <w:r>
        <w:rPr>
          <w:sz w:val="20"/>
          <w:szCs w:val="20"/>
        </w:rPr>
        <w:t xml:space="preserve">Úzká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67BD0">
        <w:rPr>
          <w:sz w:val="20"/>
          <w:szCs w:val="20"/>
        </w:rPr>
        <w:t>Bučovická</w:t>
      </w:r>
      <w:r w:rsidR="00C470F1" w:rsidRPr="00C470F1">
        <w:rPr>
          <w:sz w:val="20"/>
          <w:szCs w:val="20"/>
        </w:rPr>
        <w:t xml:space="preserve"> </w:t>
      </w:r>
      <w:r w:rsidR="006F53D6">
        <w:rPr>
          <w:sz w:val="20"/>
          <w:szCs w:val="20"/>
        </w:rPr>
        <w:t>u</w:t>
      </w:r>
      <w:r w:rsidR="00C470F1">
        <w:rPr>
          <w:sz w:val="20"/>
          <w:szCs w:val="20"/>
        </w:rPr>
        <w:t xml:space="preserve">lice </w:t>
      </w:r>
      <w:r w:rsidR="009B694D">
        <w:rPr>
          <w:sz w:val="20"/>
          <w:szCs w:val="20"/>
        </w:rPr>
        <w:tab/>
      </w:r>
      <w:r w:rsidR="009B694D">
        <w:rPr>
          <w:sz w:val="20"/>
          <w:szCs w:val="20"/>
        </w:rPr>
        <w:tab/>
      </w:r>
      <w:r w:rsidR="009B694D">
        <w:rPr>
          <w:sz w:val="20"/>
          <w:szCs w:val="20"/>
        </w:rPr>
        <w:tab/>
      </w:r>
      <w:r w:rsidR="009B694D">
        <w:rPr>
          <w:sz w:val="20"/>
          <w:szCs w:val="20"/>
        </w:rPr>
        <w:tab/>
      </w:r>
    </w:p>
    <w:p w:rsidR="003E1F1C" w:rsidRPr="00961DB1" w:rsidRDefault="003E1F1C" w:rsidP="00961DB1">
      <w:pPr>
        <w:rPr>
          <w:sz w:val="20"/>
          <w:szCs w:val="20"/>
        </w:rPr>
      </w:pPr>
    </w:p>
    <w:p w:rsidR="00961DB1" w:rsidRPr="003C0E83" w:rsidRDefault="00961DB1" w:rsidP="008E04E7">
      <w:pPr>
        <w:pStyle w:val="Nadpis2"/>
        <w:numPr>
          <w:ilvl w:val="1"/>
          <w:numId w:val="19"/>
        </w:numPr>
        <w:pBdr>
          <w:bottom w:val="none" w:sz="0" w:space="0" w:color="auto"/>
        </w:pBdr>
        <w:rPr>
          <w:b/>
          <w:bCs w:val="0"/>
          <w:color w:val="404040" w:themeColor="text1" w:themeTint="BF"/>
          <w:sz w:val="22"/>
          <w:szCs w:val="22"/>
        </w:rPr>
      </w:pPr>
      <w:bookmarkStart w:id="35" w:name="_Toc34910892"/>
      <w:r w:rsidRPr="003C0E83">
        <w:rPr>
          <w:b/>
          <w:bCs w:val="0"/>
          <w:color w:val="404040" w:themeColor="text1" w:themeTint="BF"/>
          <w:sz w:val="22"/>
          <w:szCs w:val="22"/>
        </w:rPr>
        <w:t>Ostatní budovy</w:t>
      </w:r>
      <w:r w:rsidR="000F3A80">
        <w:rPr>
          <w:b/>
          <w:bCs w:val="0"/>
          <w:color w:val="404040" w:themeColor="text1" w:themeTint="BF"/>
          <w:sz w:val="22"/>
          <w:szCs w:val="22"/>
        </w:rPr>
        <w:t xml:space="preserve"> a stavby</w:t>
      </w:r>
      <w:bookmarkEnd w:id="35"/>
    </w:p>
    <w:p w:rsidR="00961DB1" w:rsidRDefault="003C0E83" w:rsidP="00961DB1">
      <w:pPr>
        <w:rPr>
          <w:sz w:val="20"/>
          <w:szCs w:val="20"/>
        </w:rPr>
      </w:pPr>
      <w:r>
        <w:rPr>
          <w:sz w:val="20"/>
          <w:szCs w:val="20"/>
        </w:rPr>
        <w:t>Kromě bytových domů město vlastní 20 dalších budov nebo souborů budov. Jedná se především o budovy městského úřadu, školské budovy a záme</w:t>
      </w:r>
      <w:r w:rsidR="00E10B9F">
        <w:rPr>
          <w:sz w:val="20"/>
          <w:szCs w:val="20"/>
        </w:rPr>
        <w:t>c</w:t>
      </w:r>
      <w:r>
        <w:rPr>
          <w:sz w:val="20"/>
          <w:szCs w:val="20"/>
        </w:rPr>
        <w:t>k</w:t>
      </w:r>
      <w:r w:rsidR="00E10B9F">
        <w:rPr>
          <w:sz w:val="20"/>
          <w:szCs w:val="20"/>
        </w:rPr>
        <w:t>ý areál</w:t>
      </w:r>
      <w:r>
        <w:rPr>
          <w:sz w:val="20"/>
          <w:szCs w:val="20"/>
        </w:rPr>
        <w:t>. V širším slova smyslu je možné sem přiřadit též městská sportoviště (koupaliště a atletický stadion)</w:t>
      </w:r>
      <w:r w:rsidR="000F3A80">
        <w:rPr>
          <w:sz w:val="20"/>
          <w:szCs w:val="20"/>
        </w:rPr>
        <w:t xml:space="preserve"> a</w:t>
      </w:r>
      <w:r w:rsidR="00B93152">
        <w:rPr>
          <w:sz w:val="20"/>
          <w:szCs w:val="20"/>
        </w:rPr>
        <w:t> </w:t>
      </w:r>
      <w:r w:rsidR="000F3A80">
        <w:rPr>
          <w:sz w:val="20"/>
          <w:szCs w:val="20"/>
        </w:rPr>
        <w:t>městské opevnění (hradby).</w:t>
      </w:r>
    </w:p>
    <w:p w:rsidR="003E1F1C" w:rsidRDefault="003E1F1C" w:rsidP="00961DB1">
      <w:pPr>
        <w:rPr>
          <w:sz w:val="20"/>
          <w:szCs w:val="20"/>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36" w:name="_Toc25758072"/>
      <w:r w:rsidRPr="00893E76">
        <w:rPr>
          <w:sz w:val="20"/>
          <w:szCs w:val="20"/>
        </w:rPr>
        <w:t>Seznam ostatních budov a stav</w:t>
      </w:r>
      <w:r>
        <w:rPr>
          <w:sz w:val="20"/>
          <w:szCs w:val="20"/>
        </w:rPr>
        <w:t>eb</w:t>
      </w:r>
      <w:bookmarkEnd w:id="36"/>
    </w:p>
    <w:tbl>
      <w:tblPr>
        <w:tblW w:w="9371" w:type="dxa"/>
        <w:tblInd w:w="55" w:type="dxa"/>
        <w:tblCellMar>
          <w:left w:w="70" w:type="dxa"/>
          <w:right w:w="70" w:type="dxa"/>
        </w:tblCellMar>
        <w:tblLook w:val="04A0" w:firstRow="1" w:lastRow="0" w:firstColumn="1" w:lastColumn="0" w:noHBand="0" w:noVBand="1"/>
      </w:tblPr>
      <w:tblGrid>
        <w:gridCol w:w="3280"/>
        <w:gridCol w:w="2180"/>
        <w:gridCol w:w="2060"/>
        <w:gridCol w:w="1851"/>
      </w:tblGrid>
      <w:tr w:rsidR="00DA1BFC" w:rsidRPr="00DA1BFC" w:rsidTr="002E392A">
        <w:trPr>
          <w:trHeight w:val="288"/>
          <w:tblHeader/>
        </w:trPr>
        <w:tc>
          <w:tcPr>
            <w:tcW w:w="32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left"/>
              <w:rPr>
                <w:rFonts w:eastAsia="Times New Roman"/>
                <w:b/>
                <w:bCs/>
                <w:color w:val="000000"/>
                <w:sz w:val="18"/>
                <w:szCs w:val="18"/>
              </w:rPr>
            </w:pPr>
            <w:r w:rsidRPr="00DA1BFC">
              <w:rPr>
                <w:rFonts w:eastAsia="Times New Roman"/>
                <w:b/>
                <w:bCs/>
                <w:color w:val="000000"/>
                <w:sz w:val="18"/>
                <w:szCs w:val="18"/>
              </w:rPr>
              <w:t>Ostatní stavby</w:t>
            </w:r>
          </w:p>
        </w:tc>
        <w:tc>
          <w:tcPr>
            <w:tcW w:w="2180" w:type="dxa"/>
            <w:tcBorders>
              <w:top w:val="single" w:sz="4" w:space="0" w:color="auto"/>
              <w:left w:val="nil"/>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left"/>
              <w:rPr>
                <w:rFonts w:eastAsia="Times New Roman"/>
                <w:b/>
                <w:bCs/>
                <w:color w:val="000000"/>
                <w:sz w:val="18"/>
                <w:szCs w:val="18"/>
              </w:rPr>
            </w:pPr>
            <w:r w:rsidRPr="00DA1BFC">
              <w:rPr>
                <w:rFonts w:eastAsia="Times New Roman"/>
                <w:b/>
                <w:bCs/>
                <w:color w:val="000000"/>
                <w:sz w:val="18"/>
                <w:szCs w:val="18"/>
              </w:rPr>
              <w:t>Využití</w:t>
            </w:r>
          </w:p>
        </w:tc>
        <w:tc>
          <w:tcPr>
            <w:tcW w:w="2060" w:type="dxa"/>
            <w:tcBorders>
              <w:top w:val="single" w:sz="4" w:space="0" w:color="auto"/>
              <w:left w:val="nil"/>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center"/>
              <w:rPr>
                <w:rFonts w:eastAsia="Times New Roman"/>
                <w:b/>
                <w:bCs/>
                <w:color w:val="000000"/>
                <w:sz w:val="18"/>
                <w:szCs w:val="18"/>
              </w:rPr>
            </w:pPr>
            <w:r w:rsidRPr="00DA1BFC">
              <w:rPr>
                <w:rFonts w:eastAsia="Times New Roman"/>
                <w:b/>
                <w:bCs/>
                <w:color w:val="000000"/>
                <w:sz w:val="18"/>
                <w:szCs w:val="18"/>
              </w:rPr>
              <w:t>Účetní hodnota (Kč)</w:t>
            </w:r>
          </w:p>
        </w:tc>
        <w:tc>
          <w:tcPr>
            <w:tcW w:w="1851" w:type="dxa"/>
            <w:tcBorders>
              <w:top w:val="single" w:sz="4" w:space="0" w:color="auto"/>
              <w:left w:val="nil"/>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center"/>
              <w:rPr>
                <w:rFonts w:eastAsia="Times New Roman"/>
                <w:b/>
                <w:bCs/>
                <w:color w:val="000000"/>
                <w:sz w:val="18"/>
                <w:szCs w:val="18"/>
              </w:rPr>
            </w:pPr>
            <w:r w:rsidRPr="00DA1BFC">
              <w:rPr>
                <w:rFonts w:eastAsia="Times New Roman"/>
                <w:b/>
                <w:bCs/>
                <w:color w:val="000000"/>
                <w:sz w:val="18"/>
                <w:szCs w:val="18"/>
              </w:rPr>
              <w:t xml:space="preserve">Odhad hodnoty </w:t>
            </w:r>
            <w:r>
              <w:rPr>
                <w:rFonts w:eastAsia="Times New Roman"/>
                <w:b/>
                <w:bCs/>
                <w:color w:val="000000"/>
                <w:sz w:val="18"/>
                <w:szCs w:val="18"/>
              </w:rPr>
              <w:t>(</w:t>
            </w:r>
            <w:r w:rsidRPr="00DA1BFC">
              <w:rPr>
                <w:rFonts w:eastAsia="Times New Roman"/>
                <w:b/>
                <w:bCs/>
                <w:color w:val="000000"/>
                <w:sz w:val="18"/>
                <w:szCs w:val="18"/>
              </w:rPr>
              <w:t>Kč)</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1 (zámek)</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kultura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85 379 334,21</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286 200 000,00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65</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městský úřad</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8 611 851,25</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26 700 000,00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89</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administrativní, služby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6 996 490,49</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60 760 000,00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Malinovského nám. 986</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hasiči</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741 929,50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6 090 000,00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262 (bývalé kino)</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FD00DD" w:rsidP="00DA1BFC">
            <w:pPr>
              <w:spacing w:line="240" w:lineRule="auto"/>
              <w:jc w:val="left"/>
              <w:rPr>
                <w:rFonts w:eastAsia="Times New Roman"/>
                <w:color w:val="000000"/>
                <w:sz w:val="18"/>
                <w:szCs w:val="18"/>
              </w:rPr>
            </w:pPr>
            <w:r>
              <w:rPr>
                <w:rFonts w:eastAsia="Times New Roman"/>
                <w:color w:val="000000"/>
                <w:sz w:val="18"/>
                <w:szCs w:val="18"/>
              </w:rPr>
              <w:t>kultura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2 079 769,58</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13 860 000,00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123</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byty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1 475 387,00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19 280 000,00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Polní 1444 (DPS)</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byty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37 848 528,12</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63 200 000,00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 xml:space="preserve">Koláčkovo </w:t>
            </w:r>
            <w:proofErr w:type="gramStart"/>
            <w:r w:rsidRPr="00DA1BFC">
              <w:rPr>
                <w:rFonts w:eastAsia="Times New Roman"/>
                <w:color w:val="000000"/>
                <w:sz w:val="18"/>
                <w:szCs w:val="18"/>
              </w:rPr>
              <w:t>nám.727</w:t>
            </w:r>
            <w:proofErr w:type="gramEnd"/>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administrativa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6 062 292,00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18 000 000,00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Zlatá Hora 1310</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kotelna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8 367 638,52</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18 550 000,00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Bučovická 187</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byty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805 596,92</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6 600 000,00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Atletický stadion</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sport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24 261 346,28</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75 000 000,00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126</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kultura, služby, sport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19 353 339,00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57 840 000,00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proofErr w:type="spellStart"/>
            <w:r w:rsidRPr="00DA1BFC">
              <w:rPr>
                <w:rFonts w:eastAsia="Times New Roman"/>
                <w:color w:val="000000"/>
                <w:sz w:val="18"/>
                <w:szCs w:val="18"/>
              </w:rPr>
              <w:t>Kaunicova</w:t>
            </w:r>
            <w:proofErr w:type="spellEnd"/>
            <w:r w:rsidRPr="00DA1BFC">
              <w:rPr>
                <w:rFonts w:eastAsia="Times New Roman"/>
                <w:color w:val="000000"/>
                <w:sz w:val="18"/>
                <w:szCs w:val="18"/>
              </w:rPr>
              <w:t xml:space="preserve"> 212 - koupaliště</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sport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6 707 247,30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30 000 000,00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Koláčkovo nám. 107</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1 850 710,00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11 550 000,00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lastRenderedPageBreak/>
              <w:t>Koláčkovo nám. 108</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 byt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1 355 028,30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15 000 000,00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260</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městský úřad</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24 147 456,47</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34 000 000,00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Komenského nám. 495</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122 583 809,10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216 270 000,00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Komenského nám. 525</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1 401 595,19</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6 612 000,00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64</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městský úřad</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5 100 080,60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25 200 000,00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Koláčkovo nám. 664</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kultura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5 530 000,00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Špitálská 684</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ostatní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10 906,00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 </w:t>
            </w:r>
          </w:p>
        </w:tc>
      </w:tr>
      <w:tr w:rsidR="00040443" w:rsidRPr="00DA1BFC" w:rsidTr="00040443">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Tyršova 977</w:t>
            </w:r>
          </w:p>
        </w:tc>
        <w:tc>
          <w:tcPr>
            <w:tcW w:w="218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right"/>
              <w:rPr>
                <w:rFonts w:eastAsia="Times New Roman"/>
                <w:color w:val="000000"/>
                <w:sz w:val="18"/>
                <w:szCs w:val="18"/>
              </w:rPr>
            </w:pPr>
            <w:r w:rsidRPr="00DA1BFC">
              <w:rPr>
                <w:rFonts w:eastAsia="Times New Roman"/>
                <w:color w:val="000000"/>
                <w:sz w:val="18"/>
                <w:szCs w:val="18"/>
              </w:rPr>
              <w:t>65 188 801,48</w:t>
            </w:r>
          </w:p>
        </w:tc>
        <w:tc>
          <w:tcPr>
            <w:tcW w:w="1851" w:type="dxa"/>
            <w:tcBorders>
              <w:top w:val="nil"/>
              <w:left w:val="nil"/>
              <w:bottom w:val="single" w:sz="4" w:space="0" w:color="auto"/>
              <w:right w:val="single" w:sz="4" w:space="0" w:color="auto"/>
            </w:tcBorders>
            <w:shd w:val="clear" w:color="auto" w:fill="auto"/>
            <w:noWrap/>
            <w:vAlign w:val="bottom"/>
            <w:hideMark/>
          </w:tcPr>
          <w:p w:rsidR="00040443" w:rsidRDefault="00040443">
            <w:pPr>
              <w:jc w:val="right"/>
              <w:rPr>
                <w:rFonts w:cs="Calibri"/>
                <w:color w:val="000000"/>
                <w:sz w:val="18"/>
                <w:szCs w:val="18"/>
              </w:rPr>
            </w:pPr>
            <w:r>
              <w:rPr>
                <w:rFonts w:cs="Calibri"/>
                <w:color w:val="000000"/>
                <w:sz w:val="18"/>
                <w:szCs w:val="18"/>
              </w:rPr>
              <w:t>69 000 000,00</w:t>
            </w:r>
          </w:p>
        </w:tc>
      </w:tr>
      <w:tr w:rsidR="00040443" w:rsidRPr="00DA1BFC" w:rsidTr="00040443">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Československé armády 1676</w:t>
            </w:r>
          </w:p>
        </w:tc>
        <w:tc>
          <w:tcPr>
            <w:tcW w:w="218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ostatní (TSMS)</w:t>
            </w:r>
          </w:p>
        </w:tc>
        <w:tc>
          <w:tcPr>
            <w:tcW w:w="206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right"/>
              <w:rPr>
                <w:rFonts w:eastAsia="Times New Roman"/>
                <w:color w:val="000000"/>
                <w:sz w:val="18"/>
                <w:szCs w:val="18"/>
              </w:rPr>
            </w:pPr>
            <w:r w:rsidRPr="00DA1BFC">
              <w:rPr>
                <w:rFonts w:eastAsia="Times New Roman"/>
                <w:color w:val="000000"/>
                <w:sz w:val="18"/>
                <w:szCs w:val="18"/>
              </w:rPr>
              <w:t>9 256 458,00</w:t>
            </w:r>
          </w:p>
        </w:tc>
        <w:tc>
          <w:tcPr>
            <w:tcW w:w="1851" w:type="dxa"/>
            <w:tcBorders>
              <w:top w:val="nil"/>
              <w:left w:val="nil"/>
              <w:bottom w:val="single" w:sz="4" w:space="0" w:color="auto"/>
              <w:right w:val="single" w:sz="4" w:space="0" w:color="auto"/>
            </w:tcBorders>
            <w:shd w:val="clear" w:color="auto" w:fill="auto"/>
            <w:noWrap/>
            <w:vAlign w:val="bottom"/>
            <w:hideMark/>
          </w:tcPr>
          <w:p w:rsidR="00040443" w:rsidRDefault="00040443">
            <w:pPr>
              <w:jc w:val="right"/>
              <w:rPr>
                <w:rFonts w:cs="Calibri"/>
                <w:color w:val="000000"/>
                <w:sz w:val="18"/>
                <w:szCs w:val="18"/>
              </w:rPr>
            </w:pPr>
            <w:r>
              <w:rPr>
                <w:rFonts w:cs="Calibri"/>
                <w:color w:val="000000"/>
                <w:sz w:val="18"/>
                <w:szCs w:val="18"/>
              </w:rPr>
              <w:t>9 256 000,00</w:t>
            </w:r>
          </w:p>
        </w:tc>
      </w:tr>
      <w:tr w:rsidR="00040443" w:rsidRPr="00DA1BFC" w:rsidTr="00040443">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i/>
                <w:iCs/>
                <w:color w:val="000000"/>
                <w:sz w:val="18"/>
                <w:szCs w:val="18"/>
              </w:rPr>
            </w:pPr>
            <w:r w:rsidRPr="00DA1BFC">
              <w:rPr>
                <w:rFonts w:eastAsia="Times New Roman"/>
                <w:i/>
                <w:iCs/>
                <w:color w:val="000000"/>
                <w:sz w:val="18"/>
                <w:szCs w:val="18"/>
              </w:rPr>
              <w:t>Celkem</w:t>
            </w:r>
          </w:p>
        </w:tc>
        <w:tc>
          <w:tcPr>
            <w:tcW w:w="218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ascii="Calibri" w:eastAsia="Times New Roman" w:hAnsi="Calibri"/>
                <w:color w:val="000000"/>
                <w:sz w:val="18"/>
                <w:szCs w:val="18"/>
              </w:rPr>
            </w:pPr>
            <w:r w:rsidRPr="00DA1BFC">
              <w:rPr>
                <w:rFonts w:ascii="Calibri" w:eastAsia="Times New Roman" w:hAnsi="Calibri"/>
                <w:color w:val="000000"/>
                <w:sz w:val="18"/>
                <w:szCs w:val="18"/>
              </w:rPr>
              <w:t> </w:t>
            </w:r>
          </w:p>
        </w:tc>
        <w:tc>
          <w:tcPr>
            <w:tcW w:w="206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right"/>
              <w:rPr>
                <w:rFonts w:ascii="Calibri" w:eastAsia="Times New Roman" w:hAnsi="Calibri"/>
                <w:b/>
                <w:bCs/>
                <w:color w:val="000000"/>
                <w:sz w:val="22"/>
                <w:szCs w:val="22"/>
              </w:rPr>
            </w:pPr>
            <w:r w:rsidRPr="00DA1BFC">
              <w:rPr>
                <w:rFonts w:ascii="Calibri" w:eastAsia="Times New Roman" w:hAnsi="Calibri"/>
                <w:b/>
                <w:bCs/>
                <w:color w:val="000000"/>
                <w:sz w:val="22"/>
                <w:szCs w:val="22"/>
              </w:rPr>
              <w:t>439 585 596,31</w:t>
            </w:r>
          </w:p>
        </w:tc>
        <w:tc>
          <w:tcPr>
            <w:tcW w:w="1851" w:type="dxa"/>
            <w:tcBorders>
              <w:top w:val="nil"/>
              <w:left w:val="nil"/>
              <w:bottom w:val="single" w:sz="4" w:space="0" w:color="auto"/>
              <w:right w:val="single" w:sz="4" w:space="0" w:color="auto"/>
            </w:tcBorders>
            <w:shd w:val="clear" w:color="auto" w:fill="auto"/>
            <w:noWrap/>
            <w:vAlign w:val="bottom"/>
            <w:hideMark/>
          </w:tcPr>
          <w:p w:rsidR="00040443" w:rsidRPr="00040443" w:rsidRDefault="00040443">
            <w:pPr>
              <w:jc w:val="right"/>
              <w:rPr>
                <w:rFonts w:ascii="Calibri" w:hAnsi="Calibri" w:cs="Calibri"/>
                <w:b/>
                <w:bCs/>
                <w:color w:val="000000"/>
                <w:sz w:val="22"/>
                <w:szCs w:val="22"/>
              </w:rPr>
            </w:pPr>
            <w:r w:rsidRPr="00040443">
              <w:rPr>
                <w:rFonts w:ascii="Calibri" w:hAnsi="Calibri" w:cs="Calibri"/>
                <w:b/>
                <w:bCs/>
                <w:color w:val="000000"/>
                <w:sz w:val="22"/>
                <w:szCs w:val="22"/>
              </w:rPr>
              <w:t>1 074 498 000,00</w:t>
            </w:r>
          </w:p>
        </w:tc>
      </w:tr>
    </w:tbl>
    <w:p w:rsidR="00C907CE" w:rsidRDefault="00893E76" w:rsidP="00961DB1">
      <w:pPr>
        <w:rPr>
          <w:sz w:val="20"/>
          <w:szCs w:val="20"/>
        </w:rPr>
      </w:pPr>
      <w:r>
        <w:rPr>
          <w:sz w:val="20"/>
          <w:szCs w:val="20"/>
        </w:rPr>
        <w:t>Pozn.: uvedeny jsou i bytové domy, ve kterých jsou nebytové komerční prostory</w:t>
      </w:r>
    </w:p>
    <w:p w:rsidR="00893E76" w:rsidRDefault="00893E76"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1" name="obrázek 17" descr="C:\temp\slavkov\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emp\slavkov\DSC_0860.jpg"/>
                    <pic:cNvPicPr>
                      <a:picLocks noChangeAspect="1" noChangeArrowheads="1"/>
                    </pic:cNvPicPr>
                  </pic:nvPicPr>
                  <pic:blipFill>
                    <a:blip r:embed="rId33"/>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C470F1">
        <w:rPr>
          <w:noProof/>
          <w:sz w:val="20"/>
          <w:szCs w:val="20"/>
        </w:rPr>
        <w:drawing>
          <wp:inline distT="0" distB="0" distL="0" distR="0">
            <wp:extent cx="2597628" cy="1725290"/>
            <wp:effectExtent l="19050" t="0" r="0" b="0"/>
            <wp:docPr id="31" name="obrázek 3" descr="C:\temp\slavkov\DSC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slavkov\DSC_0968.jpg"/>
                    <pic:cNvPicPr>
                      <a:picLocks noChangeAspect="1" noChangeArrowheads="1"/>
                    </pic:cNvPicPr>
                  </pic:nvPicPr>
                  <pic:blipFill>
                    <a:blip r:embed="rId34"/>
                    <a:srcRect/>
                    <a:stretch>
                      <a:fillRect/>
                    </a:stretch>
                  </pic:blipFill>
                  <pic:spPr bwMode="auto">
                    <a:xfrm>
                      <a:off x="0" y="0"/>
                      <a:ext cx="2597628" cy="1725290"/>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 xml:space="preserve">Budovy </w:t>
      </w:r>
      <w:r w:rsidR="009B694D">
        <w:rPr>
          <w:sz w:val="20"/>
          <w:szCs w:val="20"/>
        </w:rPr>
        <w:t>městského úřadu Palackého nám.</w:t>
      </w:r>
    </w:p>
    <w:p w:rsidR="00C907CE" w:rsidRDefault="00C907CE"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3" name="obrázek 19" descr="C:\temp\slavkov\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slavkov\DSC_0105.jpg"/>
                    <pic:cNvPicPr>
                      <a:picLocks noChangeAspect="1" noChangeArrowheads="1"/>
                    </pic:cNvPicPr>
                  </pic:nvPicPr>
                  <pic:blipFill>
                    <a:blip r:embed="rId35"/>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C470F1">
        <w:rPr>
          <w:noProof/>
          <w:sz w:val="20"/>
          <w:szCs w:val="20"/>
        </w:rPr>
        <w:drawing>
          <wp:inline distT="0" distB="0" distL="0" distR="0">
            <wp:extent cx="2589459" cy="1719864"/>
            <wp:effectExtent l="19050" t="0" r="1341" b="0"/>
            <wp:docPr id="27" name="obrázek 1" descr="C:\temp\slavkov\DSC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lavkov\DSC_0741.jpg"/>
                    <pic:cNvPicPr>
                      <a:picLocks noChangeAspect="1" noChangeArrowheads="1"/>
                    </pic:cNvPicPr>
                  </pic:nvPicPr>
                  <pic:blipFill>
                    <a:blip r:embed="rId36"/>
                    <a:srcRect/>
                    <a:stretch>
                      <a:fillRect/>
                    </a:stretch>
                  </pic:blipFill>
                  <pic:spPr bwMode="auto">
                    <a:xfrm>
                      <a:off x="0" y="0"/>
                      <a:ext cx="2589459" cy="1719864"/>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Zámek Slavkov</w:t>
      </w:r>
    </w:p>
    <w:p w:rsidR="00C907CE" w:rsidRDefault="00C907CE"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4" name="obrázek 20" descr="C:\temp\slavkov\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slavkov\DSC_0115.jpg"/>
                    <pic:cNvPicPr>
                      <a:picLocks noChangeAspect="1" noChangeArrowheads="1"/>
                    </pic:cNvPicPr>
                  </pic:nvPicPr>
                  <pic:blipFill>
                    <a:blip r:embed="rId37"/>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4022FA">
        <w:rPr>
          <w:noProof/>
          <w:sz w:val="20"/>
          <w:szCs w:val="20"/>
        </w:rPr>
        <w:drawing>
          <wp:inline distT="0" distB="0" distL="0" distR="0">
            <wp:extent cx="2586736" cy="1718056"/>
            <wp:effectExtent l="19050" t="0" r="4064" b="0"/>
            <wp:docPr id="25" name="obrázek 21" descr="C:\temp\slavkov\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slavkov\DSC_0116.jpg"/>
                    <pic:cNvPicPr>
                      <a:picLocks noChangeAspect="1" noChangeArrowheads="1"/>
                    </pic:cNvPicPr>
                  </pic:nvPicPr>
                  <pic:blipFill>
                    <a:blip r:embed="rId38"/>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Budovy polikliniky</w:t>
      </w:r>
    </w:p>
    <w:p w:rsidR="004022FA" w:rsidRDefault="004022FA" w:rsidP="00961DB1">
      <w:pPr>
        <w:rPr>
          <w:sz w:val="20"/>
          <w:szCs w:val="20"/>
        </w:rPr>
      </w:pPr>
    </w:p>
    <w:p w:rsidR="004022FA" w:rsidRDefault="004022FA" w:rsidP="00961DB1">
      <w:pPr>
        <w:rPr>
          <w:sz w:val="20"/>
          <w:szCs w:val="20"/>
        </w:rPr>
      </w:pPr>
      <w:r>
        <w:rPr>
          <w:noProof/>
          <w:sz w:val="20"/>
          <w:szCs w:val="20"/>
        </w:rPr>
        <w:lastRenderedPageBreak/>
        <w:drawing>
          <wp:inline distT="0" distB="0" distL="0" distR="0">
            <wp:extent cx="2586736" cy="1718056"/>
            <wp:effectExtent l="19050" t="0" r="4064" b="0"/>
            <wp:docPr id="26" name="obrázek 22" descr="C:\temp\slavkov\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emp\slavkov\DSC_0862.jpg"/>
                    <pic:cNvPicPr>
                      <a:picLocks noChangeAspect="1" noChangeArrowheads="1"/>
                    </pic:cNvPicPr>
                  </pic:nvPicPr>
                  <pic:blipFill>
                    <a:blip r:embed="rId39"/>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C470F1">
        <w:rPr>
          <w:sz w:val="20"/>
          <w:szCs w:val="20"/>
        </w:rPr>
        <w:t xml:space="preserve"> </w:t>
      </w:r>
      <w:r w:rsidR="00C470F1">
        <w:rPr>
          <w:noProof/>
          <w:sz w:val="20"/>
          <w:szCs w:val="20"/>
        </w:rPr>
        <w:drawing>
          <wp:inline distT="0" distB="0" distL="0" distR="0">
            <wp:extent cx="2589459" cy="1719864"/>
            <wp:effectExtent l="19050" t="0" r="1341" b="0"/>
            <wp:docPr id="29" name="obrázek 2" descr="C:\temp\slavkov\DSC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969.jpg"/>
                    <pic:cNvPicPr>
                      <a:picLocks noChangeAspect="1" noChangeArrowheads="1"/>
                    </pic:cNvPicPr>
                  </pic:nvPicPr>
                  <pic:blipFill>
                    <a:blip r:embed="rId40"/>
                    <a:srcRect/>
                    <a:stretch>
                      <a:fillRect/>
                    </a:stretch>
                  </pic:blipFill>
                  <pic:spPr bwMode="auto">
                    <a:xfrm>
                      <a:off x="0" y="0"/>
                      <a:ext cx="2589459" cy="1719864"/>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Administrativní budova Koláčkovo náměstí</w:t>
      </w:r>
      <w:r w:rsidR="00C470F1">
        <w:rPr>
          <w:sz w:val="20"/>
          <w:szCs w:val="20"/>
        </w:rPr>
        <w:t xml:space="preserve"> škola na Komenského náměstí</w:t>
      </w:r>
    </w:p>
    <w:p w:rsidR="003E1F1C" w:rsidRPr="00961DB1" w:rsidRDefault="003E1F1C" w:rsidP="00961DB1">
      <w:pPr>
        <w:rPr>
          <w:sz w:val="20"/>
          <w:szCs w:val="20"/>
        </w:rPr>
      </w:pPr>
    </w:p>
    <w:p w:rsidR="00961DB1" w:rsidRPr="003C0E83" w:rsidRDefault="00961DB1" w:rsidP="008E04E7">
      <w:pPr>
        <w:pStyle w:val="Nadpis2"/>
        <w:numPr>
          <w:ilvl w:val="1"/>
          <w:numId w:val="19"/>
        </w:numPr>
        <w:pBdr>
          <w:bottom w:val="none" w:sz="0" w:space="0" w:color="auto"/>
        </w:pBdr>
        <w:rPr>
          <w:b/>
          <w:bCs w:val="0"/>
          <w:color w:val="404040" w:themeColor="text1" w:themeTint="BF"/>
          <w:sz w:val="22"/>
          <w:szCs w:val="22"/>
        </w:rPr>
      </w:pPr>
      <w:bookmarkStart w:id="37" w:name="_Toc34910893"/>
      <w:r w:rsidRPr="003C0E83">
        <w:rPr>
          <w:b/>
          <w:bCs w:val="0"/>
          <w:color w:val="404040" w:themeColor="text1" w:themeTint="BF"/>
          <w:sz w:val="22"/>
          <w:szCs w:val="22"/>
        </w:rPr>
        <w:t>Ostatní nemovitý majetek</w:t>
      </w:r>
      <w:bookmarkEnd w:id="37"/>
    </w:p>
    <w:p w:rsidR="00961DB1" w:rsidRDefault="000F3A80" w:rsidP="00961DB1">
      <w:pPr>
        <w:rPr>
          <w:sz w:val="20"/>
          <w:szCs w:val="20"/>
        </w:rPr>
      </w:pPr>
      <w:r>
        <w:rPr>
          <w:sz w:val="20"/>
          <w:szCs w:val="20"/>
        </w:rPr>
        <w:t>Kategorie ostatního nemovitého majetku zahrnuje především městskou infrastrukturu, tj. místní komunikace (chodníky, silnice a cyklostezky), inženýrské sítě (plynovody, vodovody a kanalizace), mosty, vodní díla (rybníky, poldry, studny) a větší mobiliář (zastávky</w:t>
      </w:r>
      <w:r w:rsidR="003E1F1C">
        <w:rPr>
          <w:sz w:val="20"/>
          <w:szCs w:val="20"/>
        </w:rPr>
        <w:t>, pomníky</w:t>
      </w:r>
      <w:r>
        <w:rPr>
          <w:sz w:val="20"/>
          <w:szCs w:val="20"/>
        </w:rPr>
        <w:t>).</w:t>
      </w:r>
      <w:r w:rsidR="00E10B9F">
        <w:rPr>
          <w:sz w:val="20"/>
          <w:szCs w:val="20"/>
        </w:rPr>
        <w:t xml:space="preserve"> Všechen tento majetek je samozřejmě také stavbami, avšak specifickými, proto je vyčleněn zvlášť.</w:t>
      </w:r>
    </w:p>
    <w:p w:rsidR="00E631AD" w:rsidRDefault="00E631AD" w:rsidP="00961DB1">
      <w:pPr>
        <w:rPr>
          <w:sz w:val="20"/>
          <w:szCs w:val="20"/>
        </w:rPr>
      </w:pPr>
      <w:r>
        <w:rPr>
          <w:sz w:val="20"/>
          <w:szCs w:val="20"/>
        </w:rPr>
        <w:t xml:space="preserve">Největší skupinu tvoří místní komunikace, kterých město vlastní 17,75 kilometru (viz následující tabulky). Město se stará o údržbu chodníků na celém rozsahu těchto komunikací, silnice jsou v délce 5,44 km ve správě </w:t>
      </w:r>
      <w:r w:rsidR="0075536F">
        <w:rPr>
          <w:sz w:val="20"/>
          <w:szCs w:val="20"/>
        </w:rPr>
        <w:t>ŘSD a Jihomoravského kraje, na město zbývá 12,31 km.</w:t>
      </w:r>
    </w:p>
    <w:p w:rsidR="00BD7958" w:rsidRDefault="00BD7958" w:rsidP="00961DB1">
      <w:pPr>
        <w:rPr>
          <w:sz w:val="20"/>
          <w:szCs w:val="20"/>
        </w:rPr>
      </w:pPr>
    </w:p>
    <w:p w:rsidR="00BD7958" w:rsidRPr="00C76026" w:rsidRDefault="00BD7958" w:rsidP="00C76026">
      <w:pPr>
        <w:pStyle w:val="tabulka"/>
        <w:numPr>
          <w:ilvl w:val="0"/>
          <w:numId w:val="32"/>
        </w:numPr>
        <w:tabs>
          <w:tab w:val="clear" w:pos="1418"/>
        </w:tabs>
        <w:spacing w:before="120" w:after="120"/>
        <w:ind w:left="1701" w:hanging="1701"/>
        <w:rPr>
          <w:sz w:val="20"/>
          <w:szCs w:val="20"/>
        </w:rPr>
      </w:pPr>
      <w:bookmarkStart w:id="38" w:name="_Toc25758073"/>
      <w:r w:rsidRPr="00C76026">
        <w:rPr>
          <w:sz w:val="20"/>
          <w:szCs w:val="20"/>
        </w:rPr>
        <w:t>Komunikace dle stavu</w:t>
      </w:r>
      <w:bookmarkEnd w:id="38"/>
    </w:p>
    <w:tbl>
      <w:tblPr>
        <w:tblW w:w="4262" w:type="dxa"/>
        <w:tblInd w:w="61" w:type="dxa"/>
        <w:tblCellMar>
          <w:left w:w="70" w:type="dxa"/>
          <w:right w:w="70" w:type="dxa"/>
        </w:tblCellMar>
        <w:tblLook w:val="04A0" w:firstRow="1" w:lastRow="0" w:firstColumn="1" w:lastColumn="0" w:noHBand="0" w:noVBand="1"/>
      </w:tblPr>
      <w:tblGrid>
        <w:gridCol w:w="2277"/>
        <w:gridCol w:w="827"/>
        <w:gridCol w:w="1158"/>
      </w:tblGrid>
      <w:tr w:rsidR="00BD7958" w:rsidRPr="00BD7958" w:rsidTr="002E392A">
        <w:trPr>
          <w:trHeight w:val="288"/>
        </w:trPr>
        <w:tc>
          <w:tcPr>
            <w:tcW w:w="227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Komunikace</w:t>
            </w:r>
          </w:p>
        </w:tc>
        <w:tc>
          <w:tcPr>
            <w:tcW w:w="827"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m</w:t>
            </w:r>
          </w:p>
        </w:tc>
        <w:tc>
          <w:tcPr>
            <w:tcW w:w="1158"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right"/>
              <w:rPr>
                <w:rFonts w:eastAsia="Times New Roman" w:cs="Calibri"/>
                <w:b/>
                <w:bCs/>
                <w:color w:val="000000"/>
                <w:sz w:val="18"/>
                <w:szCs w:val="18"/>
              </w:rPr>
            </w:pPr>
            <w:r w:rsidRPr="00BD7958">
              <w:rPr>
                <w:rFonts w:eastAsia="Times New Roman" w:cs="Calibri"/>
                <w:b/>
                <w:bCs/>
                <w:color w:val="000000"/>
                <w:sz w:val="18"/>
                <w:szCs w:val="18"/>
              </w:rPr>
              <w:t>podíl</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Nové, nebo opravené</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6</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690</w:t>
            </w:r>
          </w:p>
        </w:tc>
        <w:tc>
          <w:tcPr>
            <w:tcW w:w="1158"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37,68%</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Vyhovující stav</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7</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062</w:t>
            </w:r>
          </w:p>
        </w:tc>
        <w:tc>
          <w:tcPr>
            <w:tcW w:w="1158"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39,78%</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Plánované k opravám</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4</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001</w:t>
            </w:r>
          </w:p>
        </w:tc>
        <w:tc>
          <w:tcPr>
            <w:tcW w:w="1158"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22,54%</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Celkem</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17</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753</w:t>
            </w:r>
          </w:p>
        </w:tc>
        <w:tc>
          <w:tcPr>
            <w:tcW w:w="1158" w:type="dxa"/>
            <w:tcBorders>
              <w:top w:val="nil"/>
              <w:left w:val="nil"/>
              <w:bottom w:val="nil"/>
              <w:right w:val="nil"/>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p>
        </w:tc>
      </w:tr>
    </w:tbl>
    <w:p w:rsidR="00BD7958" w:rsidRDefault="00BD7958" w:rsidP="00961DB1">
      <w:pPr>
        <w:rPr>
          <w:sz w:val="20"/>
          <w:szCs w:val="20"/>
        </w:rPr>
      </w:pPr>
    </w:p>
    <w:p w:rsidR="00BD7958" w:rsidRPr="00961DB1" w:rsidRDefault="00BD7958" w:rsidP="00893E76">
      <w:pPr>
        <w:pStyle w:val="tabulka"/>
        <w:numPr>
          <w:ilvl w:val="0"/>
          <w:numId w:val="32"/>
        </w:numPr>
        <w:tabs>
          <w:tab w:val="clear" w:pos="1418"/>
        </w:tabs>
        <w:spacing w:before="120" w:after="120"/>
        <w:ind w:left="1701" w:hanging="1701"/>
        <w:rPr>
          <w:sz w:val="20"/>
          <w:szCs w:val="20"/>
        </w:rPr>
      </w:pPr>
      <w:bookmarkStart w:id="39" w:name="_Toc25758074"/>
      <w:r>
        <w:rPr>
          <w:sz w:val="20"/>
          <w:szCs w:val="20"/>
        </w:rPr>
        <w:t>Místní komunikace dle umístění (ulic)</w:t>
      </w:r>
      <w:bookmarkEnd w:id="39"/>
    </w:p>
    <w:tbl>
      <w:tblPr>
        <w:tblW w:w="6889" w:type="dxa"/>
        <w:tblInd w:w="61" w:type="dxa"/>
        <w:tblCellMar>
          <w:left w:w="70" w:type="dxa"/>
          <w:right w:w="70" w:type="dxa"/>
        </w:tblCellMar>
        <w:tblLook w:val="04A0" w:firstRow="1" w:lastRow="0" w:firstColumn="1" w:lastColumn="0" w:noHBand="0" w:noVBand="1"/>
      </w:tblPr>
      <w:tblGrid>
        <w:gridCol w:w="3169"/>
        <w:gridCol w:w="1160"/>
        <w:gridCol w:w="2560"/>
      </w:tblGrid>
      <w:tr w:rsidR="00BD7958" w:rsidRPr="009B2301" w:rsidTr="002E392A">
        <w:trPr>
          <w:trHeight w:val="288"/>
          <w:tblHeader/>
        </w:trPr>
        <w:tc>
          <w:tcPr>
            <w:tcW w:w="3169"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Umístění</w:t>
            </w:r>
          </w:p>
        </w:tc>
        <w:tc>
          <w:tcPr>
            <w:tcW w:w="1160"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9B2301">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Délka v m</w:t>
            </w:r>
          </w:p>
        </w:tc>
        <w:tc>
          <w:tcPr>
            <w:tcW w:w="2560"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Poznámka</w:t>
            </w:r>
          </w:p>
        </w:tc>
      </w:tr>
      <w:tr w:rsidR="00BD7958" w:rsidRPr="00BD7958" w:rsidTr="00DA1BFC">
        <w:trPr>
          <w:trHeight w:val="288"/>
          <w:tblHeader/>
        </w:trPr>
        <w:tc>
          <w:tcPr>
            <w:tcW w:w="4329" w:type="dxa"/>
            <w:gridSpan w:val="2"/>
            <w:tcBorders>
              <w:top w:val="single" w:sz="4" w:space="0" w:color="auto"/>
              <w:left w:val="single" w:sz="4" w:space="0" w:color="auto"/>
              <w:bottom w:val="single" w:sz="4" w:space="0" w:color="auto"/>
              <w:right w:val="nil"/>
            </w:tcBorders>
            <w:shd w:val="clear" w:color="auto" w:fill="auto"/>
            <w:noWrap/>
            <w:vAlign w:val="center"/>
            <w:hideMark/>
          </w:tcPr>
          <w:p w:rsidR="00BD7958" w:rsidRPr="00BD7958" w:rsidRDefault="00BD7958" w:rsidP="00427DCA">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Nové, nebo opravené</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Zelnice I.</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200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Větrná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108</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Slunečná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311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Nádražní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854</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komun</w:t>
            </w:r>
            <w:r>
              <w:rPr>
                <w:rFonts w:eastAsia="Times New Roman" w:cs="Calibri"/>
                <w:color w:val="000000"/>
                <w:sz w:val="18"/>
                <w:szCs w:val="18"/>
              </w:rPr>
              <w:t>i</w:t>
            </w:r>
            <w:r w:rsidRPr="00BD7958">
              <w:rPr>
                <w:rFonts w:eastAsia="Times New Roman" w:cs="Calibri"/>
                <w:color w:val="000000"/>
                <w:sz w:val="18"/>
                <w:szCs w:val="18"/>
              </w:rPr>
              <w:t>kace, přestupní uzel</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Husova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250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Za Branou</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45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Čelakovského</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581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Úzká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321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Jiráskova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860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Nerudova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197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2012</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U Synagogy</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193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2004</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Příční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240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2018</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Lomená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134</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2012</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lastRenderedPageBreak/>
              <w:t>Smetanova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528</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opravy 2013-2015</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Brněnská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210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Slovanská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522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Palackého nám.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451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Litavská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227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Topolova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122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Zahradní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200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Dvořákova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136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2017</w:t>
            </w:r>
          </w:p>
        </w:tc>
      </w:tr>
      <w:tr w:rsidR="00BD7958" w:rsidRPr="00BD7958" w:rsidTr="00DA1BFC">
        <w:trPr>
          <w:trHeight w:val="288"/>
        </w:trPr>
        <w:tc>
          <w:tcPr>
            <w:tcW w:w="3169" w:type="dxa"/>
            <w:tcBorders>
              <w:top w:val="nil"/>
              <w:left w:val="single" w:sz="4" w:space="0" w:color="auto"/>
              <w:bottom w:val="single" w:sz="4" w:space="0" w:color="auto"/>
              <w:right w:val="nil"/>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Vyhovující stav</w:t>
            </w:r>
          </w:p>
        </w:tc>
        <w:tc>
          <w:tcPr>
            <w:tcW w:w="1160" w:type="dxa"/>
            <w:tcBorders>
              <w:top w:val="nil"/>
              <w:left w:val="nil"/>
              <w:bottom w:val="single" w:sz="4" w:space="0" w:color="auto"/>
              <w:right w:val="nil"/>
            </w:tcBorders>
            <w:shd w:val="clear" w:color="auto" w:fill="auto"/>
            <w:noWrap/>
            <w:vAlign w:val="center"/>
            <w:hideMark/>
          </w:tcPr>
          <w:p w:rsidR="00BD7958" w:rsidRPr="00BD7958" w:rsidRDefault="00BD7958" w:rsidP="00427DCA">
            <w:pPr>
              <w:spacing w:line="240" w:lineRule="auto"/>
              <w:jc w:val="right"/>
              <w:rPr>
                <w:rFonts w:eastAsia="Times New Roman" w:cs="Calibri"/>
                <w:b/>
                <w:bCs/>
                <w:color w:val="000000"/>
                <w:sz w:val="18"/>
                <w:szCs w:val="18"/>
              </w:rPr>
            </w:pPr>
            <w:r w:rsidRPr="00BD7958">
              <w:rPr>
                <w:rFonts w:eastAsia="Times New Roman" w:cs="Calibri"/>
                <w:b/>
                <w:bCs/>
                <w:color w:val="000000"/>
                <w:sz w:val="18"/>
                <w:szCs w:val="18"/>
              </w:rPr>
              <w:t> </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Tyršova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265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Slovákova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437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 (po hřbitov)</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Bučovická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100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Bezručova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326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Kollárova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237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Československé armády</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542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Krátká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65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Hradební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Lidická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337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proofErr w:type="spellStart"/>
            <w:r w:rsidRPr="00BD7958">
              <w:rPr>
                <w:rFonts w:eastAsia="Times New Roman" w:cs="Calibri"/>
                <w:color w:val="000000"/>
                <w:sz w:val="18"/>
                <w:szCs w:val="18"/>
              </w:rPr>
              <w:t>Fugnerova</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213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Zlatá Hora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370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Špitálská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585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Luční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107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Zámecká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439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4329" w:type="dxa"/>
            <w:gridSpan w:val="2"/>
            <w:tcBorders>
              <w:top w:val="single" w:sz="4" w:space="0" w:color="auto"/>
              <w:left w:val="single" w:sz="4" w:space="0" w:color="auto"/>
              <w:bottom w:val="single" w:sz="4" w:space="0" w:color="auto"/>
              <w:right w:val="nil"/>
            </w:tcBorders>
            <w:shd w:val="clear" w:color="auto" w:fill="auto"/>
            <w:noWrap/>
            <w:vAlign w:val="center"/>
            <w:hideMark/>
          </w:tcPr>
          <w:p w:rsidR="00BD7958" w:rsidRPr="00BD7958" w:rsidRDefault="00BD7958" w:rsidP="00427DCA">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Plánované k opravám</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Malinovského</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319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Tylova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113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Sušilova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127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Komenského nám.</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233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proofErr w:type="spellStart"/>
            <w:r w:rsidRPr="00BD7958">
              <w:rPr>
                <w:rFonts w:eastAsia="Times New Roman" w:cs="Calibri"/>
                <w:color w:val="000000"/>
                <w:sz w:val="18"/>
                <w:szCs w:val="18"/>
              </w:rPr>
              <w:t>Kaunicova</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266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Zborovská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241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Koláčkovo nám.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233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Purkyňova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55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Pod Oborou</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371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Mánesova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102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Foerstrova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90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Polní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189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proofErr w:type="spellStart"/>
            <w:r w:rsidRPr="00BD7958">
              <w:rPr>
                <w:rFonts w:eastAsia="Times New Roman" w:cs="Calibri"/>
                <w:color w:val="000000"/>
                <w:sz w:val="18"/>
                <w:szCs w:val="18"/>
              </w:rPr>
              <w:t>Malčevského</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117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U Mlýna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64</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Havlíčkova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209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Československého červeného kříže</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106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Boženy Němcové</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166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bl>
    <w:p w:rsidR="00961DB1" w:rsidRDefault="00961DB1" w:rsidP="00961DB1">
      <w:pPr>
        <w:rPr>
          <w:sz w:val="20"/>
          <w:szCs w:val="20"/>
        </w:rPr>
      </w:pPr>
    </w:p>
    <w:p w:rsidR="0075536F" w:rsidRDefault="0075536F" w:rsidP="00961DB1">
      <w:pPr>
        <w:rPr>
          <w:sz w:val="20"/>
          <w:szCs w:val="20"/>
        </w:rPr>
      </w:pPr>
      <w:r>
        <w:rPr>
          <w:sz w:val="20"/>
          <w:szCs w:val="20"/>
        </w:rPr>
        <w:t xml:space="preserve">Zbylý majetek, spadající do této kategorie, rekapituluje tabulka č. </w:t>
      </w:r>
      <w:r w:rsidR="001C2650">
        <w:rPr>
          <w:sz w:val="20"/>
          <w:szCs w:val="20"/>
        </w:rPr>
        <w:t>10</w:t>
      </w:r>
      <w:r>
        <w:rPr>
          <w:sz w:val="20"/>
          <w:szCs w:val="20"/>
        </w:rPr>
        <w:t xml:space="preserve">. Z dlouhodobého hlediska se jedná </w:t>
      </w:r>
      <w:r w:rsidR="00E37C25">
        <w:rPr>
          <w:sz w:val="20"/>
          <w:szCs w:val="20"/>
        </w:rPr>
        <w:t xml:space="preserve">o </w:t>
      </w:r>
      <w:r>
        <w:rPr>
          <w:sz w:val="20"/>
          <w:szCs w:val="20"/>
        </w:rPr>
        <w:t xml:space="preserve">vodní díla (rybník a poldr), specifické zpevněné plochy (cyklostezka, </w:t>
      </w:r>
      <w:r>
        <w:rPr>
          <w:sz w:val="20"/>
          <w:szCs w:val="20"/>
        </w:rPr>
        <w:lastRenderedPageBreak/>
        <w:t>zastávky), mosty, kompostárnu a dětská hřiště. Uvedené inženýrské sítě budou převedeny do vlastnictví příslušných správců. Z hlediska rizikovosti (</w:t>
      </w:r>
      <w:r w:rsidR="00E37C25">
        <w:rPr>
          <w:sz w:val="20"/>
          <w:szCs w:val="20"/>
        </w:rPr>
        <w:t xml:space="preserve">poměru </w:t>
      </w:r>
      <w:r>
        <w:rPr>
          <w:sz w:val="20"/>
          <w:szCs w:val="20"/>
        </w:rPr>
        <w:t>nákladnosti údržby k</w:t>
      </w:r>
      <w:r w:rsidR="00E37C25">
        <w:rPr>
          <w:sz w:val="20"/>
          <w:szCs w:val="20"/>
        </w:rPr>
        <w:t> užitkovosti)</w:t>
      </w:r>
      <w:r>
        <w:rPr>
          <w:sz w:val="20"/>
          <w:szCs w:val="20"/>
        </w:rPr>
        <w:t xml:space="preserve"> se jeví neproblematičtějším silniční most na </w:t>
      </w:r>
      <w:r w:rsidR="00E37C25">
        <w:rPr>
          <w:sz w:val="20"/>
          <w:szCs w:val="20"/>
        </w:rPr>
        <w:t>ulici „U Splavu“. V městském majetku je také 15 studní, všechny jsou v neprovozuschopném stavu.</w:t>
      </w:r>
    </w:p>
    <w:p w:rsidR="0075536F" w:rsidRDefault="0075536F" w:rsidP="00961DB1">
      <w:pPr>
        <w:rPr>
          <w:sz w:val="20"/>
          <w:szCs w:val="20"/>
        </w:rPr>
      </w:pPr>
    </w:p>
    <w:p w:rsidR="00BD7958" w:rsidRDefault="00BD7958" w:rsidP="00893E76">
      <w:pPr>
        <w:pStyle w:val="tabulka"/>
        <w:numPr>
          <w:ilvl w:val="0"/>
          <w:numId w:val="32"/>
        </w:numPr>
        <w:tabs>
          <w:tab w:val="clear" w:pos="1418"/>
        </w:tabs>
        <w:spacing w:before="120" w:after="120"/>
        <w:ind w:left="1701" w:hanging="1701"/>
        <w:rPr>
          <w:sz w:val="20"/>
          <w:szCs w:val="20"/>
        </w:rPr>
      </w:pPr>
      <w:bookmarkStart w:id="40" w:name="_Toc25758075"/>
      <w:r>
        <w:rPr>
          <w:sz w:val="20"/>
          <w:szCs w:val="20"/>
        </w:rPr>
        <w:t>Ostatní majetek ve vlastnictví města</w:t>
      </w:r>
      <w:bookmarkEnd w:id="40"/>
    </w:p>
    <w:tbl>
      <w:tblPr>
        <w:tblW w:w="6580" w:type="dxa"/>
        <w:tblInd w:w="61" w:type="dxa"/>
        <w:tblCellMar>
          <w:left w:w="70" w:type="dxa"/>
          <w:right w:w="70" w:type="dxa"/>
        </w:tblCellMar>
        <w:tblLook w:val="04A0" w:firstRow="1" w:lastRow="0" w:firstColumn="1" w:lastColumn="0" w:noHBand="0" w:noVBand="1"/>
      </w:tblPr>
      <w:tblGrid>
        <w:gridCol w:w="3440"/>
        <w:gridCol w:w="3140"/>
      </w:tblGrid>
      <w:tr w:rsidR="00597ED7" w:rsidRPr="00597ED7" w:rsidTr="002E392A">
        <w:trPr>
          <w:trHeight w:val="288"/>
          <w:tblHeader/>
        </w:trPr>
        <w:tc>
          <w:tcPr>
            <w:tcW w:w="344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597ED7" w:rsidRPr="00597ED7" w:rsidRDefault="00597ED7" w:rsidP="00427DCA">
            <w:pPr>
              <w:spacing w:line="240" w:lineRule="auto"/>
              <w:jc w:val="left"/>
              <w:rPr>
                <w:rFonts w:eastAsia="Times New Roman" w:cs="Calibri"/>
                <w:b/>
                <w:bCs/>
                <w:color w:val="000000"/>
                <w:sz w:val="18"/>
                <w:szCs w:val="18"/>
              </w:rPr>
            </w:pPr>
            <w:r w:rsidRPr="00597ED7">
              <w:rPr>
                <w:rFonts w:eastAsia="Times New Roman" w:cs="Calibri"/>
                <w:b/>
                <w:bCs/>
                <w:color w:val="000000"/>
                <w:sz w:val="18"/>
                <w:szCs w:val="18"/>
              </w:rPr>
              <w:t>Popis</w:t>
            </w:r>
          </w:p>
        </w:tc>
        <w:tc>
          <w:tcPr>
            <w:tcW w:w="3140" w:type="dxa"/>
            <w:tcBorders>
              <w:top w:val="single" w:sz="4" w:space="0" w:color="auto"/>
              <w:left w:val="nil"/>
              <w:bottom w:val="single" w:sz="4" w:space="0" w:color="auto"/>
              <w:right w:val="single" w:sz="4" w:space="0" w:color="auto"/>
            </w:tcBorders>
            <w:shd w:val="clear" w:color="auto" w:fill="FF9900"/>
            <w:noWrap/>
            <w:vAlign w:val="center"/>
            <w:hideMark/>
          </w:tcPr>
          <w:p w:rsidR="00597ED7" w:rsidRPr="00597ED7" w:rsidRDefault="00597ED7" w:rsidP="00427DCA">
            <w:pPr>
              <w:spacing w:line="240" w:lineRule="auto"/>
              <w:jc w:val="left"/>
              <w:rPr>
                <w:rFonts w:eastAsia="Times New Roman" w:cs="Calibri"/>
                <w:b/>
                <w:bCs/>
                <w:color w:val="000000"/>
                <w:sz w:val="18"/>
                <w:szCs w:val="18"/>
              </w:rPr>
            </w:pPr>
            <w:r w:rsidRPr="00597ED7">
              <w:rPr>
                <w:rFonts w:eastAsia="Times New Roman" w:cs="Calibri"/>
                <w:b/>
                <w:bCs/>
                <w:color w:val="000000"/>
                <w:sz w:val="18"/>
                <w:szCs w:val="18"/>
              </w:rPr>
              <w:t>Poznámka</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Velký městský rybník</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5.</w:t>
            </w:r>
            <w:r w:rsidR="0001369C">
              <w:rPr>
                <w:rFonts w:eastAsia="Times New Roman" w:cs="Calibri"/>
                <w:color w:val="000000"/>
                <w:sz w:val="18"/>
                <w:szCs w:val="18"/>
              </w:rPr>
              <w:t xml:space="preserve"> </w:t>
            </w:r>
            <w:r w:rsidRPr="00597ED7">
              <w:rPr>
                <w:rFonts w:eastAsia="Times New Roman" w:cs="Calibri"/>
                <w:color w:val="000000"/>
                <w:sz w:val="18"/>
                <w:szCs w:val="18"/>
              </w:rPr>
              <w:t>6.</w:t>
            </w:r>
            <w:r w:rsidR="0001369C">
              <w:rPr>
                <w:rFonts w:eastAsia="Times New Roman" w:cs="Calibri"/>
                <w:color w:val="000000"/>
                <w:sz w:val="18"/>
                <w:szCs w:val="18"/>
              </w:rPr>
              <w:t xml:space="preserve"> </w:t>
            </w:r>
            <w:r w:rsidRPr="00597ED7">
              <w:rPr>
                <w:rFonts w:eastAsia="Times New Roman" w:cs="Calibri"/>
                <w:color w:val="000000"/>
                <w:sz w:val="18"/>
                <w:szCs w:val="18"/>
              </w:rPr>
              <w:t>2017 - rekonstrukce hráze</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Suchý poldr</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30.</w:t>
            </w:r>
            <w:r w:rsidR="0001369C">
              <w:rPr>
                <w:rFonts w:eastAsia="Times New Roman" w:cs="Calibri"/>
                <w:color w:val="000000"/>
                <w:sz w:val="18"/>
                <w:szCs w:val="18"/>
              </w:rPr>
              <w:t xml:space="preserve"> </w:t>
            </w:r>
            <w:r w:rsidRPr="00597ED7">
              <w:rPr>
                <w:rFonts w:eastAsia="Times New Roman" w:cs="Calibri"/>
                <w:color w:val="000000"/>
                <w:sz w:val="18"/>
                <w:szCs w:val="18"/>
              </w:rPr>
              <w:t>3.</w:t>
            </w:r>
            <w:r w:rsidR="0001369C">
              <w:rPr>
                <w:rFonts w:eastAsia="Times New Roman" w:cs="Calibri"/>
                <w:color w:val="000000"/>
                <w:sz w:val="18"/>
                <w:szCs w:val="18"/>
              </w:rPr>
              <w:t xml:space="preserve"> </w:t>
            </w:r>
            <w:r w:rsidRPr="00597ED7">
              <w:rPr>
                <w:rFonts w:eastAsia="Times New Roman" w:cs="Calibri"/>
                <w:color w:val="000000"/>
                <w:sz w:val="18"/>
                <w:szCs w:val="18"/>
              </w:rPr>
              <w:t>2015 -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Vodovod, kanalizace - Větrná</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8.</w:t>
            </w:r>
            <w:r w:rsidR="0001369C">
              <w:rPr>
                <w:rFonts w:eastAsia="Times New Roman" w:cs="Calibri"/>
                <w:color w:val="000000"/>
                <w:sz w:val="18"/>
                <w:szCs w:val="18"/>
              </w:rPr>
              <w:t xml:space="preserve"> </w:t>
            </w:r>
            <w:r w:rsidRPr="00597ED7">
              <w:rPr>
                <w:rFonts w:eastAsia="Times New Roman" w:cs="Calibri"/>
                <w:color w:val="000000"/>
                <w:sz w:val="18"/>
                <w:szCs w:val="18"/>
              </w:rPr>
              <w:t>2015 -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Kanalizace - Na Vyhlídce</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12.</w:t>
            </w:r>
            <w:r w:rsidR="0001369C">
              <w:rPr>
                <w:rFonts w:eastAsia="Times New Roman" w:cs="Calibri"/>
                <w:color w:val="000000"/>
                <w:sz w:val="18"/>
                <w:szCs w:val="18"/>
              </w:rPr>
              <w:t xml:space="preserve"> </w:t>
            </w:r>
            <w:r w:rsidRPr="00597ED7">
              <w:rPr>
                <w:rFonts w:eastAsia="Times New Roman" w:cs="Calibri"/>
                <w:color w:val="000000"/>
                <w:sz w:val="18"/>
                <w:szCs w:val="18"/>
              </w:rPr>
              <w:t>2015 -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Opěrná zídka - Sadová</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14.</w:t>
            </w:r>
            <w:r w:rsidR="0001369C">
              <w:rPr>
                <w:rFonts w:eastAsia="Times New Roman" w:cs="Calibri"/>
                <w:color w:val="000000"/>
                <w:sz w:val="18"/>
                <w:szCs w:val="18"/>
              </w:rPr>
              <w:t xml:space="preserve"> </w:t>
            </w:r>
            <w:r w:rsidRPr="00597ED7">
              <w:rPr>
                <w:rFonts w:eastAsia="Times New Roman" w:cs="Calibri"/>
                <w:color w:val="000000"/>
                <w:sz w:val="18"/>
                <w:szCs w:val="18"/>
              </w:rPr>
              <w:t>6.</w:t>
            </w:r>
            <w:r w:rsidR="0001369C">
              <w:rPr>
                <w:rFonts w:eastAsia="Times New Roman" w:cs="Calibri"/>
                <w:color w:val="000000"/>
                <w:sz w:val="18"/>
                <w:szCs w:val="18"/>
              </w:rPr>
              <w:t xml:space="preserve"> </w:t>
            </w:r>
            <w:r w:rsidRPr="00597ED7">
              <w:rPr>
                <w:rFonts w:eastAsia="Times New Roman" w:cs="Calibri"/>
                <w:color w:val="000000"/>
                <w:sz w:val="18"/>
                <w:szCs w:val="18"/>
              </w:rPr>
              <w:t>2017 -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Vodovod, kanalizace - Sadová</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14.</w:t>
            </w:r>
            <w:r w:rsidR="0001369C">
              <w:rPr>
                <w:rFonts w:eastAsia="Times New Roman" w:cs="Calibri"/>
                <w:color w:val="000000"/>
                <w:sz w:val="18"/>
                <w:szCs w:val="18"/>
              </w:rPr>
              <w:t xml:space="preserve"> </w:t>
            </w:r>
            <w:r w:rsidRPr="00597ED7">
              <w:rPr>
                <w:rFonts w:eastAsia="Times New Roman" w:cs="Calibri"/>
                <w:color w:val="000000"/>
                <w:sz w:val="18"/>
                <w:szCs w:val="18"/>
              </w:rPr>
              <w:t>6.</w:t>
            </w:r>
            <w:r w:rsidR="0001369C">
              <w:rPr>
                <w:rFonts w:eastAsia="Times New Roman" w:cs="Calibri"/>
                <w:color w:val="000000"/>
                <w:sz w:val="18"/>
                <w:szCs w:val="18"/>
              </w:rPr>
              <w:t xml:space="preserve"> </w:t>
            </w:r>
            <w:r w:rsidRPr="00597ED7">
              <w:rPr>
                <w:rFonts w:eastAsia="Times New Roman" w:cs="Calibri"/>
                <w:color w:val="000000"/>
                <w:sz w:val="18"/>
                <w:szCs w:val="18"/>
              </w:rPr>
              <w:t>2017 -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Památník I. a II. Světové války</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27.</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2018 -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Cyklostezka Slavkov-Hodějice</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25.</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2018 -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 xml:space="preserve">Plynovod - </w:t>
            </w:r>
            <w:proofErr w:type="spellStart"/>
            <w:r w:rsidRPr="00597ED7">
              <w:rPr>
                <w:rFonts w:eastAsia="Times New Roman" w:cs="Calibri"/>
                <w:color w:val="000000"/>
                <w:sz w:val="18"/>
                <w:szCs w:val="18"/>
              </w:rPr>
              <w:t>Tenryu</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24.</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2003 -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Plynovod - Luční</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24.</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2003 -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Autobusová zastávka - Malinovského</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12.</w:t>
            </w:r>
            <w:r w:rsidR="0001369C">
              <w:rPr>
                <w:rFonts w:eastAsia="Times New Roman" w:cs="Calibri"/>
                <w:color w:val="000000"/>
                <w:sz w:val="18"/>
                <w:szCs w:val="18"/>
              </w:rPr>
              <w:t xml:space="preserve"> </w:t>
            </w:r>
            <w:r w:rsidRPr="00597ED7">
              <w:rPr>
                <w:rFonts w:eastAsia="Times New Roman" w:cs="Calibri"/>
                <w:color w:val="000000"/>
                <w:sz w:val="18"/>
                <w:szCs w:val="18"/>
              </w:rPr>
              <w:t>2003 -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 xml:space="preserve">Autobusová zastávka - </w:t>
            </w:r>
            <w:proofErr w:type="spellStart"/>
            <w:r w:rsidRPr="00597ED7">
              <w:rPr>
                <w:rFonts w:eastAsia="Times New Roman" w:cs="Calibri"/>
                <w:color w:val="000000"/>
                <w:sz w:val="18"/>
                <w:szCs w:val="18"/>
              </w:rPr>
              <w:t>Cutisin</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2016 -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Autobusová zastávka - Cutisin2</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2016 -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 xml:space="preserve">Mosty a akvadukty na </w:t>
            </w:r>
            <w:proofErr w:type="spellStart"/>
            <w:r w:rsidRPr="00597ED7">
              <w:rPr>
                <w:rFonts w:eastAsia="Times New Roman" w:cs="Calibri"/>
                <w:color w:val="000000"/>
                <w:sz w:val="18"/>
                <w:szCs w:val="18"/>
              </w:rPr>
              <w:t>Litavě</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24.</w:t>
            </w:r>
            <w:r w:rsidR="0001369C">
              <w:rPr>
                <w:rFonts w:eastAsia="Times New Roman" w:cs="Calibri"/>
                <w:color w:val="000000"/>
                <w:sz w:val="18"/>
                <w:szCs w:val="18"/>
              </w:rPr>
              <w:t xml:space="preserve"> </w:t>
            </w:r>
            <w:r w:rsidRPr="00597ED7">
              <w:rPr>
                <w:rFonts w:eastAsia="Times New Roman" w:cs="Calibri"/>
                <w:color w:val="000000"/>
                <w:sz w:val="18"/>
                <w:szCs w:val="18"/>
              </w:rPr>
              <w:t>4.</w:t>
            </w:r>
            <w:r w:rsidR="0001369C">
              <w:rPr>
                <w:rFonts w:eastAsia="Times New Roman" w:cs="Calibri"/>
                <w:color w:val="000000"/>
                <w:sz w:val="18"/>
                <w:szCs w:val="18"/>
              </w:rPr>
              <w:t xml:space="preserve"> </w:t>
            </w:r>
            <w:r w:rsidRPr="00597ED7">
              <w:rPr>
                <w:rFonts w:eastAsia="Times New Roman" w:cs="Calibri"/>
                <w:color w:val="000000"/>
                <w:sz w:val="18"/>
                <w:szCs w:val="18"/>
              </w:rPr>
              <w:t>1991 - převod do majetku</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Dětská hřiště</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2003</w:t>
            </w:r>
            <w:r w:rsidR="0001369C">
              <w:rPr>
                <w:rFonts w:eastAsia="Times New Roman" w:cs="Calibri"/>
                <w:color w:val="000000"/>
                <w:sz w:val="18"/>
                <w:szCs w:val="18"/>
              </w:rPr>
              <w:t xml:space="preserve"> </w:t>
            </w:r>
            <w:r w:rsidRPr="00597ED7">
              <w:rPr>
                <w:rFonts w:eastAsia="Times New Roman" w:cs="Calibri"/>
                <w:color w:val="000000"/>
                <w:sz w:val="18"/>
                <w:szCs w:val="18"/>
              </w:rPr>
              <w:t>-</w:t>
            </w:r>
            <w:r w:rsidR="0001369C">
              <w:rPr>
                <w:rFonts w:eastAsia="Times New Roman" w:cs="Calibri"/>
                <w:color w:val="000000"/>
                <w:sz w:val="18"/>
                <w:szCs w:val="18"/>
              </w:rPr>
              <w:t xml:space="preserve"> </w:t>
            </w:r>
            <w:r w:rsidRPr="00597ED7">
              <w:rPr>
                <w:rFonts w:eastAsia="Times New Roman" w:cs="Calibri"/>
                <w:color w:val="000000"/>
                <w:sz w:val="18"/>
                <w:szCs w:val="18"/>
              </w:rPr>
              <w:t>2008 -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Kompostárna</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3.</w:t>
            </w:r>
            <w:r w:rsidR="0001369C">
              <w:rPr>
                <w:rFonts w:eastAsia="Times New Roman" w:cs="Calibri"/>
                <w:color w:val="000000"/>
                <w:sz w:val="18"/>
                <w:szCs w:val="18"/>
              </w:rPr>
              <w:t xml:space="preserve"> </w:t>
            </w:r>
            <w:r w:rsidRPr="00597ED7">
              <w:rPr>
                <w:rFonts w:eastAsia="Times New Roman" w:cs="Calibri"/>
                <w:color w:val="000000"/>
                <w:sz w:val="18"/>
                <w:szCs w:val="18"/>
              </w:rPr>
              <w:t>2010 - pořízení</w:t>
            </w:r>
          </w:p>
        </w:tc>
      </w:tr>
    </w:tbl>
    <w:p w:rsidR="00BD7958" w:rsidRDefault="00BD7958" w:rsidP="00961DB1">
      <w:pPr>
        <w:rPr>
          <w:sz w:val="20"/>
          <w:szCs w:val="20"/>
        </w:rPr>
      </w:pPr>
    </w:p>
    <w:p w:rsidR="000F74D3" w:rsidRPr="000F74D3" w:rsidRDefault="000F74D3" w:rsidP="008E04E7">
      <w:pPr>
        <w:pStyle w:val="Nadpis2"/>
        <w:numPr>
          <w:ilvl w:val="1"/>
          <w:numId w:val="19"/>
        </w:numPr>
        <w:pBdr>
          <w:bottom w:val="none" w:sz="0" w:space="0" w:color="auto"/>
        </w:pBdr>
        <w:rPr>
          <w:b/>
          <w:bCs w:val="0"/>
          <w:color w:val="404040" w:themeColor="text1" w:themeTint="BF"/>
          <w:sz w:val="22"/>
          <w:szCs w:val="22"/>
        </w:rPr>
      </w:pPr>
      <w:bookmarkStart w:id="41" w:name="_Toc34910894"/>
      <w:r w:rsidRPr="000F74D3">
        <w:rPr>
          <w:b/>
          <w:bCs w:val="0"/>
          <w:color w:val="404040" w:themeColor="text1" w:themeTint="BF"/>
          <w:sz w:val="22"/>
          <w:szCs w:val="22"/>
        </w:rPr>
        <w:t xml:space="preserve">Historie větších </w:t>
      </w:r>
      <w:r>
        <w:rPr>
          <w:b/>
          <w:bCs w:val="0"/>
          <w:color w:val="404040" w:themeColor="text1" w:themeTint="BF"/>
          <w:sz w:val="22"/>
          <w:szCs w:val="22"/>
        </w:rPr>
        <w:t>změn v držení nemovitostí</w:t>
      </w:r>
      <w:bookmarkEnd w:id="41"/>
    </w:p>
    <w:p w:rsidR="000F74D3" w:rsidRDefault="000F74D3" w:rsidP="00961DB1">
      <w:pPr>
        <w:rPr>
          <w:sz w:val="20"/>
          <w:szCs w:val="20"/>
        </w:rPr>
      </w:pPr>
      <w:r>
        <w:rPr>
          <w:sz w:val="20"/>
          <w:szCs w:val="20"/>
        </w:rPr>
        <w:t xml:space="preserve">Město hospodařilo se svým majetkem v průběhu posledních 20 let velmi uvážlivě, neprovádělo žádný neuvážený výprodej, ani masivní nákupy. </w:t>
      </w:r>
      <w:r w:rsidR="00961852">
        <w:rPr>
          <w:sz w:val="20"/>
          <w:szCs w:val="20"/>
        </w:rPr>
        <w:t>Z dnešního pohledu se jako nepříliš dobré rozhodnutí jeví převzetí zámku s parkem, nicméně tuto záležitost nelze vnímat jen negativně a je třeba také přihlédnout k době, kdy se tak stalo</w:t>
      </w:r>
      <w:r w:rsidR="009A5550">
        <w:rPr>
          <w:sz w:val="20"/>
          <w:szCs w:val="20"/>
        </w:rPr>
        <w:t>, a samozřejmě i k tomu, že nemovitost poskytuje zázemí pro kulturní život ve městě</w:t>
      </w:r>
      <w:r w:rsidR="00E10B9F">
        <w:rPr>
          <w:sz w:val="20"/>
          <w:szCs w:val="20"/>
        </w:rPr>
        <w:t>.</w:t>
      </w:r>
      <w:r w:rsidR="00A23017">
        <w:rPr>
          <w:sz w:val="20"/>
          <w:szCs w:val="20"/>
        </w:rPr>
        <w:t xml:space="preserve"> Město prodávalo především pozemky určené pro výstavbu rodinných a bytových domů a část </w:t>
      </w:r>
      <w:r w:rsidR="00280F85">
        <w:rPr>
          <w:sz w:val="20"/>
          <w:szCs w:val="20"/>
        </w:rPr>
        <w:t xml:space="preserve">vlastněných </w:t>
      </w:r>
      <w:r w:rsidR="00A23017">
        <w:rPr>
          <w:sz w:val="20"/>
          <w:szCs w:val="20"/>
        </w:rPr>
        <w:t xml:space="preserve">bytových domů. </w:t>
      </w:r>
      <w:r w:rsidR="00755106">
        <w:rPr>
          <w:sz w:val="20"/>
          <w:szCs w:val="20"/>
        </w:rPr>
        <w:t>Na druhé straně pořizovalo převážně majetek potřebný pro chod města a zajištění potřeb občanů.</w:t>
      </w:r>
    </w:p>
    <w:p w:rsidR="00A21246" w:rsidRDefault="00A21246" w:rsidP="00961DB1">
      <w:pPr>
        <w:rPr>
          <w:sz w:val="20"/>
          <w:szCs w:val="20"/>
        </w:rPr>
      </w:pPr>
    </w:p>
    <w:p w:rsidR="00A21246" w:rsidRDefault="00564F07" w:rsidP="00893E76">
      <w:pPr>
        <w:pStyle w:val="tabulka"/>
        <w:numPr>
          <w:ilvl w:val="0"/>
          <w:numId w:val="32"/>
        </w:numPr>
        <w:tabs>
          <w:tab w:val="clear" w:pos="1418"/>
        </w:tabs>
        <w:spacing w:before="120" w:after="120"/>
        <w:ind w:left="1701" w:hanging="1701"/>
        <w:rPr>
          <w:sz w:val="20"/>
          <w:szCs w:val="20"/>
        </w:rPr>
      </w:pPr>
      <w:bookmarkStart w:id="42" w:name="_Toc25758076"/>
      <w:r>
        <w:rPr>
          <w:sz w:val="20"/>
          <w:szCs w:val="20"/>
        </w:rPr>
        <w:t>Větší pohyby v držení majetku za posledních 25 let</w:t>
      </w:r>
      <w:bookmarkEnd w:id="42"/>
    </w:p>
    <w:tbl>
      <w:tblPr>
        <w:tblW w:w="9823" w:type="dxa"/>
        <w:tblInd w:w="61" w:type="dxa"/>
        <w:tblCellMar>
          <w:left w:w="70" w:type="dxa"/>
          <w:right w:w="70" w:type="dxa"/>
        </w:tblCellMar>
        <w:tblLook w:val="04A0" w:firstRow="1" w:lastRow="0" w:firstColumn="1" w:lastColumn="0" w:noHBand="0" w:noVBand="1"/>
      </w:tblPr>
      <w:tblGrid>
        <w:gridCol w:w="718"/>
        <w:gridCol w:w="4905"/>
        <w:gridCol w:w="4200"/>
      </w:tblGrid>
      <w:tr w:rsidR="00564F07" w:rsidRPr="00564F07" w:rsidTr="002E392A">
        <w:trPr>
          <w:trHeight w:val="288"/>
          <w:tblHeader/>
        </w:trPr>
        <w:tc>
          <w:tcPr>
            <w:tcW w:w="718"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564F07" w:rsidRPr="00564F07" w:rsidRDefault="00564F07" w:rsidP="00427DCA">
            <w:pPr>
              <w:spacing w:line="240" w:lineRule="auto"/>
              <w:jc w:val="left"/>
              <w:rPr>
                <w:rFonts w:eastAsia="Times New Roman" w:cs="Calibri"/>
                <w:b/>
                <w:bCs/>
                <w:color w:val="000000"/>
                <w:sz w:val="18"/>
                <w:szCs w:val="18"/>
              </w:rPr>
            </w:pPr>
            <w:r w:rsidRPr="00564F07">
              <w:rPr>
                <w:rFonts w:eastAsia="Times New Roman" w:cs="Calibri"/>
                <w:b/>
                <w:bCs/>
                <w:color w:val="000000"/>
                <w:sz w:val="18"/>
                <w:szCs w:val="18"/>
              </w:rPr>
              <w:t>rok</w:t>
            </w:r>
          </w:p>
        </w:tc>
        <w:tc>
          <w:tcPr>
            <w:tcW w:w="4905" w:type="dxa"/>
            <w:tcBorders>
              <w:top w:val="single" w:sz="4" w:space="0" w:color="auto"/>
              <w:left w:val="nil"/>
              <w:bottom w:val="single" w:sz="4" w:space="0" w:color="auto"/>
              <w:right w:val="single" w:sz="4" w:space="0" w:color="auto"/>
            </w:tcBorders>
            <w:shd w:val="clear" w:color="auto" w:fill="FF9900"/>
            <w:noWrap/>
            <w:vAlign w:val="center"/>
            <w:hideMark/>
          </w:tcPr>
          <w:p w:rsidR="00564F07" w:rsidRPr="00564F07" w:rsidRDefault="00564F07" w:rsidP="00427DCA">
            <w:pPr>
              <w:spacing w:line="240" w:lineRule="auto"/>
              <w:jc w:val="left"/>
              <w:rPr>
                <w:rFonts w:eastAsia="Times New Roman" w:cs="Calibri"/>
                <w:b/>
                <w:bCs/>
                <w:color w:val="000000"/>
                <w:sz w:val="18"/>
                <w:szCs w:val="18"/>
              </w:rPr>
            </w:pPr>
            <w:r>
              <w:rPr>
                <w:rFonts w:eastAsia="Times New Roman" w:cs="Calibri"/>
                <w:b/>
                <w:bCs/>
                <w:color w:val="000000"/>
                <w:sz w:val="18"/>
                <w:szCs w:val="18"/>
              </w:rPr>
              <w:t>poř</w:t>
            </w:r>
            <w:r w:rsidRPr="00564F07">
              <w:rPr>
                <w:rFonts w:eastAsia="Times New Roman" w:cs="Calibri"/>
                <w:b/>
                <w:bCs/>
                <w:color w:val="000000"/>
                <w:sz w:val="18"/>
                <w:szCs w:val="18"/>
              </w:rPr>
              <w:t>ízení</w:t>
            </w:r>
          </w:p>
        </w:tc>
        <w:tc>
          <w:tcPr>
            <w:tcW w:w="4200" w:type="dxa"/>
            <w:tcBorders>
              <w:top w:val="single" w:sz="4" w:space="0" w:color="auto"/>
              <w:left w:val="nil"/>
              <w:bottom w:val="single" w:sz="4" w:space="0" w:color="auto"/>
              <w:right w:val="single" w:sz="4" w:space="0" w:color="auto"/>
            </w:tcBorders>
            <w:shd w:val="clear" w:color="auto" w:fill="FF9900"/>
            <w:noWrap/>
            <w:vAlign w:val="center"/>
            <w:hideMark/>
          </w:tcPr>
          <w:p w:rsidR="00564F07" w:rsidRPr="00564F07" w:rsidRDefault="00564F07" w:rsidP="00427DCA">
            <w:pPr>
              <w:spacing w:line="240" w:lineRule="auto"/>
              <w:jc w:val="left"/>
              <w:rPr>
                <w:rFonts w:eastAsia="Times New Roman" w:cs="Calibri"/>
                <w:b/>
                <w:bCs/>
                <w:color w:val="000000"/>
                <w:sz w:val="18"/>
                <w:szCs w:val="18"/>
              </w:rPr>
            </w:pPr>
            <w:r w:rsidRPr="00564F07">
              <w:rPr>
                <w:rFonts w:eastAsia="Times New Roman" w:cs="Calibri"/>
                <w:b/>
                <w:bCs/>
                <w:color w:val="000000"/>
                <w:sz w:val="18"/>
                <w:szCs w:val="18"/>
              </w:rPr>
              <w:t>prodej</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2018</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pozemek č.</w:t>
            </w:r>
            <w:r w:rsidR="00427DCA">
              <w:rPr>
                <w:rFonts w:eastAsia="Times New Roman" w:cs="Calibri"/>
                <w:color w:val="000000"/>
                <w:sz w:val="18"/>
                <w:szCs w:val="18"/>
              </w:rPr>
              <w:t xml:space="preserve"> </w:t>
            </w:r>
            <w:r w:rsidRPr="00564F07">
              <w:rPr>
                <w:rFonts w:eastAsia="Times New Roman" w:cs="Calibri"/>
                <w:color w:val="000000"/>
                <w:sz w:val="18"/>
                <w:szCs w:val="18"/>
              </w:rPr>
              <w:t xml:space="preserve">p. 964 - proluka Palackého nám.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bývalá budova TSMS - Špitálská 733</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2017</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nová budova TSMS - Československé armády 1676</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2016</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2015</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2014</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2013</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hřiště Nádražní</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zemědělská půda - p.</w:t>
            </w:r>
            <w:r w:rsidR="00240252">
              <w:rPr>
                <w:rFonts w:eastAsia="Times New Roman" w:cs="Calibri"/>
                <w:color w:val="000000"/>
                <w:sz w:val="18"/>
                <w:szCs w:val="18"/>
              </w:rPr>
              <w:t xml:space="preserve"> </w:t>
            </w:r>
            <w:r w:rsidRPr="00564F07">
              <w:rPr>
                <w:rFonts w:eastAsia="Times New Roman" w:cs="Calibri"/>
                <w:color w:val="000000"/>
                <w:sz w:val="18"/>
                <w:szCs w:val="18"/>
              </w:rPr>
              <w:t>č. 3156, 3157/1</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2012</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2011</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demolice domu Úzká 656</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2010</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kompostárna</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byty Nádražní 1153-1158</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lastRenderedPageBreak/>
              <w:t>2009</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Lomená 382</w:t>
            </w:r>
          </w:p>
        </w:tc>
      </w:tr>
      <w:tr w:rsidR="00564F07" w:rsidRPr="00564F07" w:rsidTr="00427DCA">
        <w:trPr>
          <w:trHeight w:val="288"/>
        </w:trPr>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2008</w:t>
            </w:r>
          </w:p>
        </w:tc>
        <w:tc>
          <w:tcPr>
            <w:tcW w:w="49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pozemky pro výstavbu - Zelnice</w:t>
            </w:r>
          </w:p>
        </w:tc>
      </w:tr>
      <w:tr w:rsidR="00564F07" w:rsidRPr="00564F07" w:rsidTr="00427DCA">
        <w:trPr>
          <w:trHeight w:val="288"/>
        </w:trPr>
        <w:tc>
          <w:tcPr>
            <w:tcW w:w="718"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RD Slovákova 441</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2007</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2006</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bývalá kotelna - Nádražní 1191</w:t>
            </w:r>
          </w:p>
        </w:tc>
      </w:tr>
      <w:tr w:rsidR="00564F07" w:rsidRPr="00564F07" w:rsidTr="00427DCA">
        <w:trPr>
          <w:trHeight w:val="288"/>
        </w:trPr>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2005</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Koláčkovo nám. 727</w:t>
            </w:r>
          </w:p>
        </w:tc>
        <w:tc>
          <w:tcPr>
            <w:tcW w:w="4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bývalá Zvláštní škola - Tyršova 500</w:t>
            </w:r>
          </w:p>
        </w:tc>
      </w:tr>
      <w:tr w:rsidR="00564F07" w:rsidRPr="00564F07" w:rsidTr="00427DCA">
        <w:trPr>
          <w:trHeight w:val="288"/>
        </w:trPr>
        <w:tc>
          <w:tcPr>
            <w:tcW w:w="718"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stadion</w:t>
            </w:r>
          </w:p>
        </w:tc>
        <w:tc>
          <w:tcPr>
            <w:tcW w:w="4200"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r>
      <w:tr w:rsidR="00564F07" w:rsidRPr="00564F07" w:rsidTr="00427DCA">
        <w:trPr>
          <w:trHeight w:val="288"/>
        </w:trPr>
        <w:tc>
          <w:tcPr>
            <w:tcW w:w="718"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pozemek p.</w:t>
            </w:r>
            <w:r w:rsidR="00240252">
              <w:rPr>
                <w:rFonts w:eastAsia="Times New Roman" w:cs="Calibri"/>
                <w:color w:val="000000"/>
                <w:sz w:val="18"/>
                <w:szCs w:val="18"/>
              </w:rPr>
              <w:t xml:space="preserve"> </w:t>
            </w:r>
            <w:r w:rsidRPr="00564F07">
              <w:rPr>
                <w:rFonts w:eastAsia="Times New Roman" w:cs="Calibri"/>
                <w:color w:val="000000"/>
                <w:sz w:val="18"/>
                <w:szCs w:val="18"/>
              </w:rPr>
              <w:t>č. 70 - proluka Husova</w:t>
            </w:r>
          </w:p>
        </w:tc>
        <w:tc>
          <w:tcPr>
            <w:tcW w:w="4200"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2004</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2003</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Litavská 1499-1501</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2002</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budova MěÚ - Palackého nám. 260</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 </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Litavská 1496-98</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2001</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2000</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Litavská 1482-90</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1999</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1998</w:t>
            </w:r>
          </w:p>
        </w:tc>
        <w:tc>
          <w:tcPr>
            <w:tcW w:w="49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Československé armády 1076</w:t>
            </w:r>
          </w:p>
        </w:tc>
      </w:tr>
      <w:tr w:rsidR="00564F07" w:rsidRPr="00564F07" w:rsidTr="00427DCA">
        <w:trPr>
          <w:trHeight w:val="288"/>
        </w:trPr>
        <w:tc>
          <w:tcPr>
            <w:tcW w:w="718"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pozemky pro výstavbu garáží Zlatá Hora</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1997</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Městu předány bytové domy a kotelny</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1996</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Polní 1444</w:t>
            </w:r>
          </w:p>
        </w:tc>
        <w:tc>
          <w:tcPr>
            <w:tcW w:w="4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pozemky pro výstavbu RD v ulici Luční</w:t>
            </w:r>
          </w:p>
        </w:tc>
      </w:tr>
      <w:tr w:rsidR="00564F07" w:rsidRPr="00564F07" w:rsidTr="00427DCA">
        <w:trPr>
          <w:trHeight w:val="288"/>
        </w:trPr>
        <w:tc>
          <w:tcPr>
            <w:tcW w:w="718"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Městu předány budovy polikliniky</w:t>
            </w:r>
          </w:p>
        </w:tc>
        <w:tc>
          <w:tcPr>
            <w:tcW w:w="4200"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r>
      <w:tr w:rsidR="00564F07" w:rsidRPr="00564F07" w:rsidTr="00427DCA">
        <w:trPr>
          <w:trHeight w:val="288"/>
        </w:trPr>
        <w:tc>
          <w:tcPr>
            <w:tcW w:w="718"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Městu předán zámek vč. parku</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1995</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Československé armády 1211</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1994</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Československé armády 1077</w:t>
            </w:r>
          </w:p>
        </w:tc>
      </w:tr>
      <w:tr w:rsidR="00564F07" w:rsidRPr="00564F07" w:rsidTr="00427DCA">
        <w:trPr>
          <w:trHeight w:val="288"/>
        </w:trPr>
        <w:tc>
          <w:tcPr>
            <w:tcW w:w="5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rok se nepodařilo zjistit</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proofErr w:type="spellStart"/>
            <w:r w:rsidRPr="00564F07">
              <w:rPr>
                <w:rFonts w:eastAsia="Times New Roman" w:cs="Calibri"/>
                <w:color w:val="000000"/>
                <w:sz w:val="18"/>
                <w:szCs w:val="18"/>
              </w:rPr>
              <w:t>Kaunicův</w:t>
            </w:r>
            <w:proofErr w:type="spellEnd"/>
            <w:r w:rsidRPr="00564F07">
              <w:rPr>
                <w:rFonts w:eastAsia="Times New Roman" w:cs="Calibri"/>
                <w:color w:val="000000"/>
                <w:sz w:val="18"/>
                <w:szCs w:val="18"/>
              </w:rPr>
              <w:t xml:space="preserve"> dvůr</w:t>
            </w:r>
          </w:p>
        </w:tc>
      </w:tr>
    </w:tbl>
    <w:p w:rsidR="00A21246" w:rsidRDefault="00A21246" w:rsidP="00961DB1">
      <w:pPr>
        <w:rPr>
          <w:sz w:val="20"/>
          <w:szCs w:val="20"/>
        </w:rPr>
      </w:pPr>
    </w:p>
    <w:p w:rsidR="00564F07" w:rsidRDefault="00564F07" w:rsidP="00961DB1">
      <w:pPr>
        <w:rPr>
          <w:sz w:val="20"/>
          <w:szCs w:val="20"/>
        </w:rPr>
      </w:pPr>
    </w:p>
    <w:p w:rsidR="00A21246" w:rsidRPr="00427DCA" w:rsidRDefault="00A21246" w:rsidP="00A21246">
      <w:pPr>
        <w:pStyle w:val="AQE1"/>
        <w:numPr>
          <w:ilvl w:val="0"/>
          <w:numId w:val="6"/>
        </w:numPr>
        <w:rPr>
          <w:sz w:val="28"/>
          <w:szCs w:val="28"/>
          <w:lang w:val="cs-CZ"/>
        </w:rPr>
      </w:pPr>
      <w:bookmarkStart w:id="43" w:name="_Toc34910895"/>
      <w:r w:rsidRPr="00A21246">
        <w:rPr>
          <w:sz w:val="28"/>
          <w:szCs w:val="28"/>
          <w:lang w:val="cs-CZ"/>
        </w:rPr>
        <w:lastRenderedPageBreak/>
        <w:t>Bydlení a obyvatelstvo</w:t>
      </w:r>
      <w:bookmarkEnd w:id="43"/>
    </w:p>
    <w:p w:rsidR="00A21246" w:rsidRDefault="00A21246" w:rsidP="00961DB1">
      <w:pPr>
        <w:rPr>
          <w:sz w:val="20"/>
          <w:szCs w:val="20"/>
        </w:rPr>
      </w:pPr>
      <w:r>
        <w:rPr>
          <w:sz w:val="20"/>
          <w:szCs w:val="20"/>
        </w:rPr>
        <w:t>Ve městě žije cca 6</w:t>
      </w:r>
      <w:r w:rsidR="00427DCA">
        <w:rPr>
          <w:sz w:val="20"/>
          <w:szCs w:val="20"/>
        </w:rPr>
        <w:t xml:space="preserve"> </w:t>
      </w:r>
      <w:r>
        <w:rPr>
          <w:sz w:val="20"/>
          <w:szCs w:val="20"/>
        </w:rPr>
        <w:t>700 ob</w:t>
      </w:r>
      <w:r w:rsidR="00035039">
        <w:rPr>
          <w:sz w:val="20"/>
          <w:szCs w:val="20"/>
        </w:rPr>
        <w:t>yvatel</w:t>
      </w:r>
      <w:r>
        <w:rPr>
          <w:sz w:val="20"/>
          <w:szCs w:val="20"/>
        </w:rPr>
        <w:t>.</w:t>
      </w:r>
      <w:r w:rsidR="00035039">
        <w:rPr>
          <w:sz w:val="20"/>
          <w:szCs w:val="20"/>
        </w:rPr>
        <w:t xml:space="preserve"> Ve městě je přibližně </w:t>
      </w:r>
      <w:r w:rsidR="00035039" w:rsidRPr="0057442A">
        <w:rPr>
          <w:sz w:val="20"/>
          <w:szCs w:val="20"/>
        </w:rPr>
        <w:t>3</w:t>
      </w:r>
      <w:r w:rsidR="00427DCA" w:rsidRPr="0057442A">
        <w:rPr>
          <w:sz w:val="20"/>
          <w:szCs w:val="20"/>
        </w:rPr>
        <w:t xml:space="preserve"> </w:t>
      </w:r>
      <w:r w:rsidR="00035039" w:rsidRPr="0057442A">
        <w:rPr>
          <w:sz w:val="20"/>
          <w:szCs w:val="20"/>
        </w:rPr>
        <w:t xml:space="preserve">040 </w:t>
      </w:r>
      <w:r w:rsidR="00035039">
        <w:rPr>
          <w:sz w:val="20"/>
          <w:szCs w:val="20"/>
        </w:rPr>
        <w:t xml:space="preserve">bytových jednotek, z toho je </w:t>
      </w:r>
      <w:r w:rsidR="00035039" w:rsidRPr="0057442A">
        <w:rPr>
          <w:sz w:val="20"/>
          <w:szCs w:val="20"/>
        </w:rPr>
        <w:t>1</w:t>
      </w:r>
      <w:r w:rsidR="00427DCA" w:rsidRPr="0057442A">
        <w:rPr>
          <w:sz w:val="20"/>
          <w:szCs w:val="20"/>
        </w:rPr>
        <w:t xml:space="preserve"> </w:t>
      </w:r>
      <w:r w:rsidR="00035039" w:rsidRPr="0057442A">
        <w:rPr>
          <w:sz w:val="20"/>
          <w:szCs w:val="20"/>
        </w:rPr>
        <w:t>450</w:t>
      </w:r>
      <w:r w:rsidR="00035039" w:rsidRPr="001C2650">
        <w:rPr>
          <w:sz w:val="20"/>
          <w:szCs w:val="20"/>
        </w:rPr>
        <w:t xml:space="preserve"> </w:t>
      </w:r>
      <w:r w:rsidR="00035039">
        <w:rPr>
          <w:sz w:val="20"/>
          <w:szCs w:val="20"/>
        </w:rPr>
        <w:t>v bytových domech, zbylé připadají na rodinné domy.</w:t>
      </w:r>
      <w:r w:rsidR="00040443">
        <w:rPr>
          <w:sz w:val="20"/>
          <w:szCs w:val="20"/>
        </w:rPr>
        <w:t xml:space="preserve"> Město má v rámci republiky dobrou věkovou strukturu obyvatelstva a také příznivý demografický vývoj, nicméně tento stav je výrazně ovlivněn bytovou výstavbou spojenou s mírným nárůstem počtu obyvatel, a to ve skupinách ekonomicky aktivních a dětí. Tento trend ale nebude dlouhodobý, ve městě je rozestavěno či dokončováno </w:t>
      </w:r>
      <w:r w:rsidR="00703F9C">
        <w:rPr>
          <w:sz w:val="20"/>
          <w:szCs w:val="20"/>
        </w:rPr>
        <w:t>přibližně sto bytových jednotek ve dvou lokalitách – Zelnice (64 jednotek), Slovanská (43 jednotek), čímž bude potenciál výstavby téměř vyčerpán. V územním plánu zůstává pro bytovou výstavbu už jen plocha v lokalitě Slovanská – nad Zlatou horou, kde se počítá též s výstavbou školky.</w:t>
      </w:r>
    </w:p>
    <w:p w:rsidR="00A21246" w:rsidRDefault="00A21246" w:rsidP="00961DB1">
      <w:pPr>
        <w:rPr>
          <w:sz w:val="20"/>
          <w:szCs w:val="20"/>
        </w:rPr>
      </w:pPr>
    </w:p>
    <w:p w:rsidR="00035039" w:rsidRDefault="00035039" w:rsidP="00F0687D">
      <w:pPr>
        <w:pStyle w:val="tabulka"/>
        <w:numPr>
          <w:ilvl w:val="0"/>
          <w:numId w:val="32"/>
        </w:numPr>
        <w:tabs>
          <w:tab w:val="clear" w:pos="1418"/>
        </w:tabs>
        <w:spacing w:before="120" w:after="120"/>
        <w:ind w:left="1701" w:hanging="1701"/>
        <w:rPr>
          <w:sz w:val="20"/>
          <w:szCs w:val="20"/>
        </w:rPr>
      </w:pPr>
      <w:bookmarkStart w:id="44" w:name="_Toc25758077"/>
      <w:r>
        <w:rPr>
          <w:sz w:val="20"/>
          <w:szCs w:val="20"/>
        </w:rPr>
        <w:t>Demografický vývoj za posledních 20 let</w:t>
      </w:r>
      <w:bookmarkEnd w:id="44"/>
    </w:p>
    <w:tbl>
      <w:tblPr>
        <w:tblW w:w="5000" w:type="pct"/>
        <w:tblCellMar>
          <w:left w:w="70" w:type="dxa"/>
          <w:right w:w="70" w:type="dxa"/>
        </w:tblCellMar>
        <w:tblLook w:val="04A0" w:firstRow="1" w:lastRow="0" w:firstColumn="1" w:lastColumn="0" w:noHBand="0" w:noVBand="1"/>
      </w:tblPr>
      <w:tblGrid>
        <w:gridCol w:w="895"/>
        <w:gridCol w:w="1189"/>
        <w:gridCol w:w="1188"/>
        <w:gridCol w:w="1188"/>
        <w:gridCol w:w="1188"/>
        <w:gridCol w:w="1188"/>
        <w:gridCol w:w="1188"/>
        <w:gridCol w:w="1188"/>
      </w:tblGrid>
      <w:tr w:rsidR="00035039" w:rsidRPr="00035039" w:rsidTr="002E392A">
        <w:trPr>
          <w:trHeight w:val="264"/>
        </w:trPr>
        <w:tc>
          <w:tcPr>
            <w:tcW w:w="48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Rok</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Počet</w:t>
            </w:r>
            <w:r w:rsidRPr="00035039">
              <w:rPr>
                <w:rFonts w:eastAsia="Times New Roman" w:cs="Arial"/>
                <w:b/>
                <w:bCs/>
                <w:color w:val="000000"/>
                <w:sz w:val="18"/>
                <w:szCs w:val="18"/>
              </w:rPr>
              <w:br/>
              <w:t>obyvatel</w:t>
            </w:r>
            <w:r w:rsidRPr="00035039">
              <w:rPr>
                <w:rFonts w:eastAsia="Times New Roman" w:cs="Arial"/>
                <w:b/>
                <w:bCs/>
                <w:color w:val="000000"/>
                <w:sz w:val="18"/>
                <w:szCs w:val="18"/>
              </w:rPr>
              <w:br/>
              <w:t>celkem</w:t>
            </w:r>
          </w:p>
        </w:tc>
        <w:tc>
          <w:tcPr>
            <w:tcW w:w="1290" w:type="pct"/>
            <w:gridSpan w:val="2"/>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v tom podle pohlaví</w:t>
            </w:r>
          </w:p>
        </w:tc>
        <w:tc>
          <w:tcPr>
            <w:tcW w:w="1935" w:type="pct"/>
            <w:gridSpan w:val="3"/>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v tom ve věku (let)</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Průměrný</w:t>
            </w:r>
            <w:r w:rsidRPr="00035039">
              <w:rPr>
                <w:rFonts w:eastAsia="Times New Roman" w:cs="Arial"/>
                <w:b/>
                <w:bCs/>
                <w:color w:val="000000"/>
                <w:sz w:val="18"/>
                <w:szCs w:val="18"/>
              </w:rPr>
              <w:br/>
              <w:t>věk</w:t>
            </w:r>
          </w:p>
        </w:tc>
      </w:tr>
      <w:tr w:rsidR="00035039" w:rsidRPr="00035039" w:rsidTr="002E392A">
        <w:trPr>
          <w:trHeight w:val="264"/>
        </w:trPr>
        <w:tc>
          <w:tcPr>
            <w:tcW w:w="48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left"/>
              <w:rPr>
                <w:rFonts w:eastAsia="Times New Roman" w:cs="Arial"/>
                <w:b/>
                <w:bCs/>
                <w:color w:val="000000"/>
                <w:sz w:val="18"/>
                <w:szCs w:val="18"/>
              </w:rPr>
            </w:pPr>
          </w:p>
        </w:tc>
        <w:tc>
          <w:tcPr>
            <w:tcW w:w="64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left"/>
              <w:rPr>
                <w:rFonts w:eastAsia="Times New Roman" w:cs="Arial"/>
                <w:b/>
                <w:bCs/>
                <w:color w:val="000000"/>
                <w:sz w:val="18"/>
                <w:szCs w:val="18"/>
              </w:rPr>
            </w:pP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muži</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ženy</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0-14</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15-64</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65 a více</w:t>
            </w:r>
          </w:p>
        </w:tc>
        <w:tc>
          <w:tcPr>
            <w:tcW w:w="64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left"/>
              <w:rPr>
                <w:rFonts w:eastAsia="Times New Roman" w:cs="Arial"/>
                <w:b/>
                <w:bCs/>
                <w:color w:val="000000"/>
                <w:sz w:val="18"/>
                <w:szCs w:val="18"/>
              </w:rPr>
            </w:pP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5 905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2 857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989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4 148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768</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38,1</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5 893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2 855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3 038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4 165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780</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38,4</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5 904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2 850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3 054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931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4 160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813</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38,8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5 936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2 863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3 073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914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4 201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821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39,1</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6 062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2 951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3 111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887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4 352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823</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39,2</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6 049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2 937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3 112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873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4 349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827</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39,4</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6 143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2 997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3 146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862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4 423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858</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39,4</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6 139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2 989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3 150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846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4 432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861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39,7</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6 169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2 999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3 170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870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4 412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887</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6 220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3 030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862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4 426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932</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40,2</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6 245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3 055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890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4 396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959</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40,3</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3 021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3 206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902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4 305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1 020</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6 224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916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4 263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1 045</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41,1</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6 299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3 044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3 255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971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4 266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1 062</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41,0</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6 456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3 119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3 337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1 043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1 086</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6 564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3 175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3 389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1 092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4 331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1 141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40,9</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6 597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3 403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4 296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1 153</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6 647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3 220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3 427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1 201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4 265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1 181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76"/>
        </w:trPr>
        <w:tc>
          <w:tcPr>
            <w:tcW w:w="485" w:type="pct"/>
            <w:tcBorders>
              <w:top w:val="nil"/>
              <w:left w:val="single" w:sz="8" w:space="0" w:color="auto"/>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2018</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6 694</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3 226</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3 468</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1 232</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4 252</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1 210</w:t>
            </w:r>
          </w:p>
        </w:tc>
        <w:tc>
          <w:tcPr>
            <w:tcW w:w="645" w:type="pct"/>
            <w:tcBorders>
              <w:top w:val="nil"/>
              <w:left w:val="nil"/>
              <w:bottom w:val="single" w:sz="8"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bl>
    <w:p w:rsidR="00A21246" w:rsidRDefault="00035039" w:rsidP="00961DB1">
      <w:pPr>
        <w:rPr>
          <w:sz w:val="20"/>
          <w:szCs w:val="20"/>
        </w:rPr>
      </w:pPr>
      <w:r>
        <w:rPr>
          <w:sz w:val="20"/>
          <w:szCs w:val="20"/>
        </w:rPr>
        <w:t>Zdroj: ČSÚ</w:t>
      </w:r>
    </w:p>
    <w:p w:rsidR="00035039" w:rsidRDefault="00035039" w:rsidP="00961DB1">
      <w:pPr>
        <w:rPr>
          <w:sz w:val="20"/>
          <w:szCs w:val="20"/>
        </w:rPr>
      </w:pPr>
    </w:p>
    <w:p w:rsidR="00703F9C" w:rsidRDefault="00703F9C" w:rsidP="00961DB1">
      <w:pPr>
        <w:rPr>
          <w:sz w:val="20"/>
          <w:szCs w:val="20"/>
        </w:rPr>
      </w:pPr>
      <w:r>
        <w:rPr>
          <w:sz w:val="20"/>
          <w:szCs w:val="20"/>
        </w:rPr>
        <w:t xml:space="preserve">Ve městě bylo v posledních deseti letech vystavěno celkem 515 bytových jednotek výhradně soukromými investory. Mimořádným byl rok 2018, kdy bylo zkolaudováno 190 bytových jednotek především v lokalitách Zelnice a </w:t>
      </w:r>
      <w:proofErr w:type="spellStart"/>
      <w:r>
        <w:rPr>
          <w:sz w:val="20"/>
          <w:szCs w:val="20"/>
        </w:rPr>
        <w:t>Kaunicův</w:t>
      </w:r>
      <w:proofErr w:type="spellEnd"/>
      <w:r>
        <w:rPr>
          <w:sz w:val="20"/>
          <w:szCs w:val="20"/>
        </w:rPr>
        <w:t xml:space="preserve"> dvůr.</w:t>
      </w:r>
    </w:p>
    <w:p w:rsidR="00703F9C" w:rsidRDefault="00703F9C" w:rsidP="00961DB1">
      <w:pPr>
        <w:rPr>
          <w:sz w:val="20"/>
          <w:szCs w:val="20"/>
        </w:rPr>
      </w:pPr>
    </w:p>
    <w:p w:rsidR="00035039" w:rsidRDefault="00035039" w:rsidP="00F0687D">
      <w:pPr>
        <w:pStyle w:val="tabulka"/>
        <w:numPr>
          <w:ilvl w:val="0"/>
          <w:numId w:val="32"/>
        </w:numPr>
        <w:tabs>
          <w:tab w:val="clear" w:pos="1418"/>
        </w:tabs>
        <w:spacing w:before="120" w:after="120"/>
        <w:ind w:left="1701" w:hanging="1701"/>
        <w:rPr>
          <w:sz w:val="20"/>
          <w:szCs w:val="20"/>
        </w:rPr>
      </w:pPr>
      <w:bookmarkStart w:id="45" w:name="_Toc25758078"/>
      <w:r>
        <w:rPr>
          <w:sz w:val="20"/>
          <w:szCs w:val="20"/>
        </w:rPr>
        <w:t>Nově vybudované bytové jednotky v posledních deseti letech</w:t>
      </w:r>
      <w:bookmarkEnd w:id="45"/>
    </w:p>
    <w:tbl>
      <w:tblPr>
        <w:tblW w:w="5000" w:type="pct"/>
        <w:tblCellMar>
          <w:left w:w="70" w:type="dxa"/>
          <w:right w:w="70" w:type="dxa"/>
        </w:tblCellMar>
        <w:tblLook w:val="04A0" w:firstRow="1" w:lastRow="0" w:firstColumn="1" w:lastColumn="0" w:noHBand="0" w:noVBand="1"/>
      </w:tblPr>
      <w:tblGrid>
        <w:gridCol w:w="1536"/>
        <w:gridCol w:w="769"/>
        <w:gridCol w:w="768"/>
        <w:gridCol w:w="768"/>
        <w:gridCol w:w="768"/>
        <w:gridCol w:w="768"/>
        <w:gridCol w:w="768"/>
        <w:gridCol w:w="768"/>
        <w:gridCol w:w="768"/>
        <w:gridCol w:w="768"/>
        <w:gridCol w:w="763"/>
      </w:tblGrid>
      <w:tr w:rsidR="00035039" w:rsidRPr="00035039" w:rsidTr="002E392A">
        <w:trPr>
          <w:trHeight w:val="288"/>
        </w:trPr>
        <w:tc>
          <w:tcPr>
            <w:tcW w:w="833" w:type="pct"/>
            <w:tcBorders>
              <w:top w:val="single" w:sz="4" w:space="0" w:color="auto"/>
              <w:left w:val="single" w:sz="4" w:space="0" w:color="auto"/>
              <w:bottom w:val="single" w:sz="4" w:space="0" w:color="auto"/>
              <w:right w:val="single" w:sz="4" w:space="0" w:color="auto"/>
            </w:tcBorders>
            <w:shd w:val="clear" w:color="auto" w:fill="FF9900"/>
            <w:noWrap/>
            <w:vAlign w:val="bottom"/>
            <w:hideMark/>
          </w:tcPr>
          <w:p w:rsidR="00035039" w:rsidRPr="00035039" w:rsidRDefault="00035039" w:rsidP="00035039">
            <w:pPr>
              <w:spacing w:line="240" w:lineRule="auto"/>
              <w:jc w:val="left"/>
              <w:rPr>
                <w:rFonts w:ascii="Calibri" w:eastAsia="Times New Roman" w:hAnsi="Calibri" w:cs="Calibri"/>
                <w:b/>
                <w:bCs/>
                <w:color w:val="000000"/>
                <w:sz w:val="22"/>
                <w:szCs w:val="22"/>
              </w:rPr>
            </w:pPr>
            <w:r w:rsidRPr="00035039">
              <w:rPr>
                <w:rFonts w:ascii="Calibri" w:eastAsia="Times New Roman" w:hAnsi="Calibri" w:cs="Calibri"/>
                <w:b/>
                <w:bCs/>
                <w:color w:val="000000"/>
                <w:sz w:val="22"/>
                <w:szCs w:val="22"/>
              </w:rPr>
              <w:t>Rok</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2009</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2010</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2011</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2012</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2013</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2014</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2015</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2016</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2017</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2018</w:t>
            </w:r>
          </w:p>
        </w:tc>
      </w:tr>
      <w:tr w:rsidR="00035039" w:rsidRPr="00035039" w:rsidTr="00035039">
        <w:trPr>
          <w:trHeight w:val="288"/>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left"/>
              <w:rPr>
                <w:rFonts w:ascii="Calibri" w:eastAsia="Times New Roman" w:hAnsi="Calibri" w:cs="Calibri"/>
                <w:b/>
                <w:bCs/>
                <w:color w:val="000000"/>
                <w:sz w:val="22"/>
                <w:szCs w:val="22"/>
              </w:rPr>
            </w:pPr>
            <w:r w:rsidRPr="00035039">
              <w:rPr>
                <w:rFonts w:ascii="Calibri" w:eastAsia="Times New Roman" w:hAnsi="Calibri" w:cs="Calibri"/>
                <w:b/>
                <w:bCs/>
                <w:color w:val="000000"/>
                <w:sz w:val="22"/>
                <w:szCs w:val="22"/>
              </w:rPr>
              <w:t>nové byty (počet)</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56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26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24</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17</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85</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38</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36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27</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16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190</w:t>
            </w:r>
          </w:p>
        </w:tc>
      </w:tr>
    </w:tbl>
    <w:p w:rsidR="001C2650" w:rsidRDefault="00035039" w:rsidP="00961DB1">
      <w:pPr>
        <w:rPr>
          <w:sz w:val="20"/>
          <w:szCs w:val="20"/>
        </w:rPr>
      </w:pPr>
      <w:r>
        <w:rPr>
          <w:sz w:val="20"/>
          <w:szCs w:val="20"/>
        </w:rPr>
        <w:t>Zdroj: ČSÚ</w:t>
      </w:r>
    </w:p>
    <w:p w:rsidR="001C2650" w:rsidRDefault="001C2650">
      <w:pPr>
        <w:spacing w:line="240" w:lineRule="auto"/>
        <w:jc w:val="left"/>
        <w:rPr>
          <w:sz w:val="20"/>
          <w:szCs w:val="20"/>
        </w:rPr>
      </w:pPr>
      <w:r>
        <w:rPr>
          <w:sz w:val="20"/>
          <w:szCs w:val="20"/>
        </w:rPr>
        <w:br w:type="page"/>
      </w:r>
    </w:p>
    <w:p w:rsidR="00012CCE" w:rsidRDefault="00012CCE" w:rsidP="003C3104">
      <w:pPr>
        <w:pStyle w:val="tabulka"/>
        <w:numPr>
          <w:ilvl w:val="0"/>
          <w:numId w:val="32"/>
        </w:numPr>
        <w:tabs>
          <w:tab w:val="clear" w:pos="1418"/>
        </w:tabs>
        <w:spacing w:before="120" w:after="120"/>
        <w:ind w:left="1701" w:hanging="1701"/>
        <w:rPr>
          <w:sz w:val="20"/>
          <w:szCs w:val="20"/>
        </w:rPr>
      </w:pPr>
      <w:bookmarkStart w:id="46" w:name="_Toc25758079"/>
      <w:r>
        <w:rPr>
          <w:sz w:val="20"/>
          <w:szCs w:val="20"/>
        </w:rPr>
        <w:lastRenderedPageBreak/>
        <w:t>Struktura bytového fondu města při posledním sčítání obyvatel, bytů a domů v</w:t>
      </w:r>
      <w:r w:rsidR="00472D33">
        <w:rPr>
          <w:sz w:val="20"/>
          <w:szCs w:val="20"/>
        </w:rPr>
        <w:t> </w:t>
      </w:r>
      <w:r>
        <w:rPr>
          <w:sz w:val="20"/>
          <w:szCs w:val="20"/>
        </w:rPr>
        <w:t>r</w:t>
      </w:r>
      <w:r w:rsidR="00472D33">
        <w:rPr>
          <w:sz w:val="20"/>
          <w:szCs w:val="20"/>
        </w:rPr>
        <w:t>.</w:t>
      </w:r>
      <w:r>
        <w:rPr>
          <w:sz w:val="20"/>
          <w:szCs w:val="20"/>
        </w:rPr>
        <w:t xml:space="preserve"> 2011</w:t>
      </w:r>
      <w:bookmarkEnd w:id="46"/>
    </w:p>
    <w:tbl>
      <w:tblPr>
        <w:tblW w:w="5000" w:type="pct"/>
        <w:tblCellMar>
          <w:left w:w="70" w:type="dxa"/>
          <w:right w:w="70" w:type="dxa"/>
        </w:tblCellMar>
        <w:tblLook w:val="04A0" w:firstRow="1" w:lastRow="0" w:firstColumn="1" w:lastColumn="0" w:noHBand="0" w:noVBand="1"/>
      </w:tblPr>
      <w:tblGrid>
        <w:gridCol w:w="2054"/>
        <w:gridCol w:w="1065"/>
        <w:gridCol w:w="1522"/>
        <w:gridCol w:w="1522"/>
        <w:gridCol w:w="1522"/>
        <w:gridCol w:w="1527"/>
      </w:tblGrid>
      <w:tr w:rsidR="00012CCE" w:rsidRPr="00012CCE" w:rsidTr="002E392A">
        <w:trPr>
          <w:trHeight w:val="264"/>
          <w:tblHeader/>
        </w:trPr>
        <w:tc>
          <w:tcPr>
            <w:tcW w:w="111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F11644">
            <w:pPr>
              <w:spacing w:line="240" w:lineRule="auto"/>
              <w:jc w:val="left"/>
              <w:rPr>
                <w:rFonts w:eastAsia="Times New Roman" w:cs="Arial"/>
                <w:b/>
                <w:bCs/>
                <w:color w:val="000000"/>
                <w:sz w:val="18"/>
                <w:szCs w:val="18"/>
              </w:rPr>
            </w:pPr>
            <w:r w:rsidRPr="00012CCE">
              <w:rPr>
                <w:rFonts w:eastAsia="Times New Roman" w:cs="Arial"/>
                <w:b/>
                <w:bCs/>
                <w:color w:val="000000"/>
                <w:sz w:val="18"/>
                <w:szCs w:val="18"/>
              </w:rPr>
              <w:t>Byty</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Byty </w:t>
            </w:r>
            <w:r w:rsidRPr="00012CCE">
              <w:rPr>
                <w:rFonts w:eastAsia="Times New Roman" w:cs="Arial"/>
                <w:b/>
                <w:bCs/>
                <w:color w:val="000000"/>
                <w:sz w:val="18"/>
                <w:szCs w:val="18"/>
              </w:rPr>
              <w:br/>
              <w:t>celkem</w:t>
            </w:r>
          </w:p>
        </w:tc>
        <w:tc>
          <w:tcPr>
            <w:tcW w:w="1652" w:type="pct"/>
            <w:gridSpan w:val="2"/>
            <w:tcBorders>
              <w:top w:val="single" w:sz="4" w:space="0" w:color="auto"/>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z toho</w:t>
            </w:r>
          </w:p>
        </w:tc>
        <w:tc>
          <w:tcPr>
            <w:tcW w:w="1655" w:type="pct"/>
            <w:gridSpan w:val="2"/>
            <w:tcBorders>
              <w:top w:val="single" w:sz="4" w:space="0" w:color="auto"/>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Počet osob</w:t>
            </w:r>
          </w:p>
        </w:tc>
      </w:tr>
      <w:tr w:rsidR="00012CCE" w:rsidRPr="00012CCE" w:rsidTr="002E392A">
        <w:trPr>
          <w:trHeight w:val="684"/>
          <w:tblHeader/>
        </w:trPr>
        <w:tc>
          <w:tcPr>
            <w:tcW w:w="111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F11644">
            <w:pPr>
              <w:spacing w:line="240" w:lineRule="auto"/>
              <w:jc w:val="left"/>
              <w:rPr>
                <w:rFonts w:eastAsia="Times New Roman" w:cs="Arial"/>
                <w:b/>
                <w:bCs/>
                <w:color w:val="000000"/>
                <w:sz w:val="18"/>
                <w:szCs w:val="18"/>
              </w:rPr>
            </w:pPr>
          </w:p>
        </w:tc>
        <w:tc>
          <w:tcPr>
            <w:tcW w:w="578"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left"/>
              <w:rPr>
                <w:rFonts w:eastAsia="Times New Roman" w:cs="Arial"/>
                <w:b/>
                <w:bCs/>
                <w:color w:val="000000"/>
                <w:sz w:val="18"/>
                <w:szCs w:val="18"/>
              </w:rPr>
            </w:pPr>
          </w:p>
        </w:tc>
        <w:tc>
          <w:tcPr>
            <w:tcW w:w="826"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v rodinných </w:t>
            </w:r>
            <w:r w:rsidRPr="00012CCE">
              <w:rPr>
                <w:rFonts w:eastAsia="Times New Roman" w:cs="Arial"/>
                <w:b/>
                <w:bCs/>
                <w:color w:val="000000"/>
                <w:sz w:val="18"/>
                <w:szCs w:val="18"/>
              </w:rPr>
              <w:br/>
              <w:t>domech</w:t>
            </w:r>
          </w:p>
        </w:tc>
        <w:tc>
          <w:tcPr>
            <w:tcW w:w="826"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v bytových </w:t>
            </w:r>
            <w:r w:rsidRPr="00012CCE">
              <w:rPr>
                <w:rFonts w:eastAsia="Times New Roman" w:cs="Arial"/>
                <w:b/>
                <w:bCs/>
                <w:color w:val="000000"/>
                <w:sz w:val="18"/>
                <w:szCs w:val="18"/>
              </w:rPr>
              <w:br/>
              <w:t>domech</w:t>
            </w:r>
          </w:p>
        </w:tc>
        <w:tc>
          <w:tcPr>
            <w:tcW w:w="826"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celkem</w:t>
            </w:r>
          </w:p>
        </w:tc>
        <w:tc>
          <w:tcPr>
            <w:tcW w:w="829"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z toho </w:t>
            </w:r>
            <w:r w:rsidRPr="00012CCE">
              <w:rPr>
                <w:rFonts w:eastAsia="Times New Roman" w:cs="Arial"/>
                <w:b/>
                <w:bCs/>
                <w:color w:val="000000"/>
                <w:sz w:val="18"/>
                <w:szCs w:val="18"/>
              </w:rPr>
              <w:br/>
              <w:t xml:space="preserve">v rodinných </w:t>
            </w:r>
            <w:r w:rsidRPr="00012CCE">
              <w:rPr>
                <w:rFonts w:eastAsia="Times New Roman" w:cs="Arial"/>
                <w:b/>
                <w:bCs/>
                <w:color w:val="000000"/>
                <w:sz w:val="18"/>
                <w:szCs w:val="18"/>
              </w:rPr>
              <w:br/>
              <w:t>domech</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Byty celkem</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2 606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1 374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1 210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6 046</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3 446</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F11644">
            <w:pPr>
              <w:spacing w:line="240" w:lineRule="auto"/>
              <w:ind w:firstLineChars="100" w:firstLine="180"/>
              <w:jc w:val="left"/>
              <w:rPr>
                <w:rFonts w:eastAsia="Times New Roman" w:cs="Arial"/>
                <w:color w:val="000000"/>
                <w:sz w:val="18"/>
                <w:szCs w:val="18"/>
              </w:rPr>
            </w:pPr>
            <w:r w:rsidRPr="00012CCE">
              <w:rPr>
                <w:rFonts w:eastAsia="Times New Roman" w:cs="Arial"/>
                <w:color w:val="000000"/>
                <w:sz w:val="18"/>
                <w:szCs w:val="18"/>
              </w:rPr>
              <w:t>obydlené</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2 310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1 180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1 112</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6 046</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3 446</w:t>
            </w:r>
          </w:p>
        </w:tc>
      </w:tr>
      <w:tr w:rsidR="00012CCE" w:rsidRPr="00012CCE" w:rsidTr="00F11644">
        <w:trPr>
          <w:trHeight w:val="456"/>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z toho právní důvod užívání bytu:</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ve vlastním domě</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980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971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2 974</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2 952</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v osobním vlastnictví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236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234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560</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nájemní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415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33</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378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932</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99</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družstevní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448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448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1 078</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r>
      <w:tr w:rsidR="00012CCE" w:rsidRPr="00012CCE" w:rsidTr="003C3104">
        <w:trPr>
          <w:trHeight w:val="42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z toho v domech s materiálem nosných zdí:</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z kamene, cihel, tvárnic</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1 809</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1 101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700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4 804</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3 222</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ze stěnových panelů</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405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402</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986</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12</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F11644">
            <w:pPr>
              <w:spacing w:line="240" w:lineRule="auto"/>
              <w:ind w:firstLineChars="100" w:firstLine="180"/>
              <w:jc w:val="left"/>
              <w:rPr>
                <w:rFonts w:eastAsia="Times New Roman" w:cs="Arial"/>
                <w:color w:val="000000"/>
                <w:sz w:val="18"/>
                <w:szCs w:val="18"/>
              </w:rPr>
            </w:pPr>
            <w:r w:rsidRPr="00012CCE">
              <w:rPr>
                <w:rFonts w:eastAsia="Times New Roman" w:cs="Arial"/>
                <w:color w:val="000000"/>
                <w:sz w:val="18"/>
                <w:szCs w:val="18"/>
              </w:rPr>
              <w:t>neobydlené</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296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194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F11644">
        <w:trPr>
          <w:trHeight w:val="456"/>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 xml:space="preserve">z toho důvod </w:t>
            </w:r>
            <w:proofErr w:type="spellStart"/>
            <w:r w:rsidRPr="00012CCE">
              <w:rPr>
                <w:rFonts w:eastAsia="Times New Roman" w:cs="Arial"/>
                <w:color w:val="000000"/>
                <w:sz w:val="18"/>
                <w:szCs w:val="18"/>
              </w:rPr>
              <w:t>neobydlenosti</w:t>
            </w:r>
            <w:proofErr w:type="spellEnd"/>
            <w:r w:rsidRPr="00012CCE">
              <w:rPr>
                <w:rFonts w:eastAsia="Times New Roman" w:cs="Arial"/>
                <w:color w:val="000000"/>
                <w:sz w:val="18"/>
                <w:szCs w:val="18"/>
              </w:rPr>
              <w:t>:</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změna uživatele</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slouží k rekreaci</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přestavba</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nezpůsobilé k bydlení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bl>
    <w:p w:rsidR="00012CCE" w:rsidRDefault="00012CCE" w:rsidP="00961DB1">
      <w:pPr>
        <w:rPr>
          <w:sz w:val="20"/>
          <w:szCs w:val="20"/>
        </w:rPr>
      </w:pPr>
      <w:r>
        <w:rPr>
          <w:sz w:val="20"/>
          <w:szCs w:val="20"/>
        </w:rPr>
        <w:t>Zdroj: ČSÚ</w:t>
      </w:r>
    </w:p>
    <w:p w:rsidR="00012CCE" w:rsidRDefault="00012CCE" w:rsidP="00961DB1">
      <w:pPr>
        <w:rPr>
          <w:sz w:val="20"/>
          <w:szCs w:val="20"/>
        </w:rPr>
      </w:pPr>
    </w:p>
    <w:p w:rsidR="00703F9C" w:rsidRDefault="00111E16" w:rsidP="00961DB1">
      <w:pPr>
        <w:rPr>
          <w:sz w:val="20"/>
          <w:szCs w:val="20"/>
        </w:rPr>
      </w:pPr>
      <w:r>
        <w:rPr>
          <w:sz w:val="20"/>
          <w:szCs w:val="20"/>
        </w:rPr>
        <w:t xml:space="preserve">Pozitivem je struktura obydlí ve městě s výrazným podílem rodinných domů a velkým podílem nově postavených bytových domů. Ve městě je relativně málo panelových domů, které jsou z posledního období </w:t>
      </w:r>
      <w:r w:rsidR="00E631AD">
        <w:rPr>
          <w:sz w:val="20"/>
          <w:szCs w:val="20"/>
        </w:rPr>
        <w:t xml:space="preserve">tohoto druhu </w:t>
      </w:r>
      <w:r>
        <w:rPr>
          <w:sz w:val="20"/>
          <w:szCs w:val="20"/>
        </w:rPr>
        <w:t>výstavby (konec 70 a 80 léta minulého století). Díky tomu město není v současnosti ohroženo „obchodem s chudobou“, který primárně vzniká skupováním bytových domů ve špatném stavu spekulanty</w:t>
      </w:r>
      <w:r w:rsidR="00E631AD">
        <w:rPr>
          <w:sz w:val="20"/>
          <w:szCs w:val="20"/>
        </w:rPr>
        <w:t xml:space="preserve"> a následném nastěhování většinou nepřizpůsobivých občanů</w:t>
      </w:r>
      <w:r>
        <w:rPr>
          <w:sz w:val="20"/>
          <w:szCs w:val="20"/>
        </w:rPr>
        <w:t>. Negativem se jeví nízký podíl města na celkovém počtu bytových jednotek. Pouhých 7</w:t>
      </w:r>
      <w:r w:rsidR="0094376E">
        <w:rPr>
          <w:sz w:val="20"/>
          <w:szCs w:val="20"/>
        </w:rPr>
        <w:t xml:space="preserve"> </w:t>
      </w:r>
      <w:r>
        <w:rPr>
          <w:sz w:val="20"/>
          <w:szCs w:val="20"/>
        </w:rPr>
        <w:t xml:space="preserve">% bytových jednotek nedává městu příliš velkou šanci na to hrát výraznější roli na trhu s bydlením, </w:t>
      </w:r>
      <w:r w:rsidR="00F0687D">
        <w:rPr>
          <w:sz w:val="20"/>
          <w:szCs w:val="20"/>
        </w:rPr>
        <w:t>k tomu</w:t>
      </w:r>
      <w:r>
        <w:rPr>
          <w:sz w:val="20"/>
          <w:szCs w:val="20"/>
        </w:rPr>
        <w:t xml:space="preserve"> by bylo třeba disponovat alespoň 20</w:t>
      </w:r>
      <w:r w:rsidR="0094376E">
        <w:rPr>
          <w:sz w:val="20"/>
          <w:szCs w:val="20"/>
        </w:rPr>
        <w:t xml:space="preserve"> </w:t>
      </w:r>
      <w:r>
        <w:rPr>
          <w:sz w:val="20"/>
          <w:szCs w:val="20"/>
        </w:rPr>
        <w:t xml:space="preserve">%. </w:t>
      </w:r>
      <w:r w:rsidR="0094376E">
        <w:rPr>
          <w:sz w:val="20"/>
          <w:szCs w:val="20"/>
        </w:rPr>
        <w:t xml:space="preserve">Nicméně kladem pro město jako </w:t>
      </w:r>
      <w:r w:rsidR="002F1A52">
        <w:rPr>
          <w:sz w:val="20"/>
          <w:szCs w:val="20"/>
        </w:rPr>
        <w:t xml:space="preserve">významného </w:t>
      </w:r>
      <w:r w:rsidR="0094376E">
        <w:rPr>
          <w:sz w:val="20"/>
          <w:szCs w:val="20"/>
        </w:rPr>
        <w:t>vlastníka je, že ve městě nepůsobí žádný jiný</w:t>
      </w:r>
      <w:r w:rsidR="00E631AD" w:rsidRPr="00E631AD">
        <w:rPr>
          <w:sz w:val="20"/>
          <w:szCs w:val="20"/>
        </w:rPr>
        <w:t xml:space="preserve"> </w:t>
      </w:r>
      <w:r w:rsidR="00E631AD">
        <w:rPr>
          <w:sz w:val="20"/>
          <w:szCs w:val="20"/>
        </w:rPr>
        <w:t>významný</w:t>
      </w:r>
      <w:r w:rsidR="0094376E">
        <w:rPr>
          <w:sz w:val="20"/>
          <w:szCs w:val="20"/>
        </w:rPr>
        <w:t xml:space="preserve"> soukromý vlastník. Ve městě jsou pronajímány </w:t>
      </w:r>
      <w:r w:rsidR="00280F85">
        <w:rPr>
          <w:sz w:val="20"/>
          <w:szCs w:val="20"/>
        </w:rPr>
        <w:t xml:space="preserve">jednotlivé </w:t>
      </w:r>
      <w:r w:rsidR="0094376E">
        <w:rPr>
          <w:sz w:val="20"/>
          <w:szCs w:val="20"/>
        </w:rPr>
        <w:t>byty, jejich</w:t>
      </w:r>
      <w:r w:rsidR="00280F85">
        <w:rPr>
          <w:sz w:val="20"/>
          <w:szCs w:val="20"/>
        </w:rPr>
        <w:t>ž</w:t>
      </w:r>
      <w:r w:rsidR="0094376E">
        <w:rPr>
          <w:sz w:val="20"/>
          <w:szCs w:val="20"/>
        </w:rPr>
        <w:t xml:space="preserve"> majiteli jsou</w:t>
      </w:r>
      <w:r w:rsidR="00280F85">
        <w:rPr>
          <w:sz w:val="20"/>
          <w:szCs w:val="20"/>
        </w:rPr>
        <w:t xml:space="preserve"> </w:t>
      </w:r>
      <w:r w:rsidR="0094376E">
        <w:rPr>
          <w:sz w:val="20"/>
          <w:szCs w:val="20"/>
        </w:rPr>
        <w:t>občané, nikoliv nějaká společnost</w:t>
      </w:r>
      <w:r w:rsidR="00F0687D">
        <w:rPr>
          <w:sz w:val="20"/>
          <w:szCs w:val="20"/>
        </w:rPr>
        <w:t xml:space="preserve"> či občan, kteří by vlastnili více bytových jednotek ne-li celých domů</w:t>
      </w:r>
      <w:r w:rsidR="0094376E">
        <w:rPr>
          <w:sz w:val="20"/>
          <w:szCs w:val="20"/>
        </w:rPr>
        <w:t>.</w:t>
      </w:r>
    </w:p>
    <w:p w:rsidR="00111E16" w:rsidRPr="003C3104" w:rsidRDefault="00111E16" w:rsidP="00961DB1">
      <w:pPr>
        <w:rPr>
          <w:sz w:val="20"/>
          <w:szCs w:val="20"/>
        </w:rPr>
      </w:pPr>
    </w:p>
    <w:p w:rsidR="00D16286" w:rsidRDefault="00F0687D" w:rsidP="00F0687D">
      <w:pPr>
        <w:pStyle w:val="tabulka"/>
        <w:numPr>
          <w:ilvl w:val="0"/>
          <w:numId w:val="32"/>
        </w:numPr>
        <w:tabs>
          <w:tab w:val="clear" w:pos="1418"/>
        </w:tabs>
        <w:spacing w:before="120" w:after="120"/>
        <w:ind w:left="1701" w:hanging="1701"/>
        <w:rPr>
          <w:sz w:val="20"/>
          <w:szCs w:val="20"/>
        </w:rPr>
      </w:pPr>
      <w:bookmarkStart w:id="47" w:name="_Toc25758080"/>
      <w:r>
        <w:rPr>
          <w:sz w:val="20"/>
          <w:szCs w:val="20"/>
        </w:rPr>
        <w:t>Bytové jednotky</w:t>
      </w:r>
      <w:r w:rsidR="00012CCE">
        <w:rPr>
          <w:sz w:val="20"/>
          <w:szCs w:val="20"/>
        </w:rPr>
        <w:t xml:space="preserve"> dle vlastníka a typu domu</w:t>
      </w:r>
      <w:r w:rsidR="00564F07">
        <w:rPr>
          <w:sz w:val="20"/>
          <w:szCs w:val="20"/>
        </w:rPr>
        <w:t xml:space="preserve"> (k 1.</w:t>
      </w:r>
      <w:r w:rsidR="00E75D6D">
        <w:rPr>
          <w:sz w:val="20"/>
          <w:szCs w:val="20"/>
        </w:rPr>
        <w:t xml:space="preserve"> </w:t>
      </w:r>
      <w:r w:rsidR="00564F07">
        <w:rPr>
          <w:sz w:val="20"/>
          <w:szCs w:val="20"/>
        </w:rPr>
        <w:t>1.</w:t>
      </w:r>
      <w:r w:rsidR="00E75D6D">
        <w:rPr>
          <w:sz w:val="20"/>
          <w:szCs w:val="20"/>
        </w:rPr>
        <w:t xml:space="preserve"> </w:t>
      </w:r>
      <w:r w:rsidR="00564F07">
        <w:rPr>
          <w:sz w:val="20"/>
          <w:szCs w:val="20"/>
        </w:rPr>
        <w:t>2019)</w:t>
      </w:r>
      <w:bookmarkEnd w:id="47"/>
    </w:p>
    <w:tbl>
      <w:tblPr>
        <w:tblW w:w="4224" w:type="dxa"/>
        <w:tblInd w:w="61" w:type="dxa"/>
        <w:tblCellMar>
          <w:left w:w="70" w:type="dxa"/>
          <w:right w:w="70" w:type="dxa"/>
        </w:tblCellMar>
        <w:tblLook w:val="04A0" w:firstRow="1" w:lastRow="0" w:firstColumn="1" w:lastColumn="0" w:noHBand="0" w:noVBand="1"/>
      </w:tblPr>
      <w:tblGrid>
        <w:gridCol w:w="2304"/>
        <w:gridCol w:w="960"/>
        <w:gridCol w:w="960"/>
      </w:tblGrid>
      <w:tr w:rsidR="00D16286" w:rsidRPr="00D16286" w:rsidTr="002E392A">
        <w:trPr>
          <w:trHeight w:val="288"/>
        </w:trPr>
        <w:tc>
          <w:tcPr>
            <w:tcW w:w="2304"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16286" w:rsidRPr="00B85E14" w:rsidRDefault="00D16286" w:rsidP="00B85E14">
            <w:pPr>
              <w:spacing w:line="240" w:lineRule="auto"/>
              <w:jc w:val="left"/>
              <w:rPr>
                <w:rFonts w:eastAsia="Times New Roman" w:cs="Calibri"/>
                <w:b/>
                <w:bCs/>
                <w:color w:val="000000"/>
                <w:sz w:val="18"/>
                <w:szCs w:val="18"/>
              </w:rPr>
            </w:pPr>
            <w:r w:rsidRPr="00B85E14">
              <w:rPr>
                <w:rFonts w:eastAsia="Times New Roman" w:cs="Calibri"/>
                <w:b/>
                <w:bCs/>
                <w:color w:val="000000"/>
                <w:sz w:val="18"/>
                <w:szCs w:val="18"/>
              </w:rPr>
              <w:t>Celkem</w:t>
            </w:r>
          </w:p>
        </w:tc>
        <w:tc>
          <w:tcPr>
            <w:tcW w:w="960" w:type="dxa"/>
            <w:tcBorders>
              <w:top w:val="single" w:sz="4" w:space="0" w:color="auto"/>
              <w:left w:val="nil"/>
              <w:bottom w:val="single" w:sz="4" w:space="0" w:color="auto"/>
              <w:right w:val="single" w:sz="4" w:space="0" w:color="auto"/>
            </w:tcBorders>
            <w:shd w:val="clear" w:color="auto" w:fill="FF9900"/>
            <w:noWrap/>
            <w:vAlign w:val="center"/>
            <w:hideMark/>
          </w:tcPr>
          <w:p w:rsidR="00D16286" w:rsidRPr="00451EDA" w:rsidRDefault="00D16286" w:rsidP="00B85E14">
            <w:pPr>
              <w:spacing w:line="240" w:lineRule="auto"/>
              <w:jc w:val="right"/>
              <w:rPr>
                <w:rFonts w:eastAsia="Times New Roman" w:cs="Calibri"/>
                <w:b/>
                <w:bCs/>
                <w:color w:val="000000"/>
                <w:sz w:val="18"/>
                <w:szCs w:val="18"/>
                <w:highlight w:val="yellow"/>
              </w:rPr>
            </w:pPr>
            <w:r w:rsidRPr="0057442A">
              <w:rPr>
                <w:rFonts w:eastAsia="Times New Roman" w:cs="Calibri"/>
                <w:b/>
                <w:bCs/>
                <w:color w:val="000000"/>
                <w:sz w:val="18"/>
                <w:szCs w:val="18"/>
              </w:rPr>
              <w:t>3040</w:t>
            </w:r>
          </w:p>
        </w:tc>
        <w:tc>
          <w:tcPr>
            <w:tcW w:w="960" w:type="dxa"/>
            <w:tcBorders>
              <w:top w:val="single" w:sz="4" w:space="0" w:color="auto"/>
              <w:left w:val="nil"/>
              <w:bottom w:val="single" w:sz="4" w:space="0" w:color="auto"/>
              <w:right w:val="single" w:sz="4" w:space="0" w:color="auto"/>
            </w:tcBorders>
            <w:shd w:val="clear" w:color="auto" w:fill="FF9900"/>
            <w:noWrap/>
            <w:vAlign w:val="center"/>
            <w:hideMark/>
          </w:tcPr>
          <w:p w:rsidR="00D16286" w:rsidRPr="00451EDA" w:rsidRDefault="00D16286" w:rsidP="00B85E14">
            <w:pPr>
              <w:spacing w:line="240" w:lineRule="auto"/>
              <w:jc w:val="right"/>
              <w:rPr>
                <w:rFonts w:eastAsia="Times New Roman" w:cs="Calibri"/>
                <w:color w:val="000000"/>
                <w:sz w:val="18"/>
                <w:szCs w:val="18"/>
                <w:highlight w:val="yellow"/>
              </w:rPr>
            </w:pP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left"/>
              <w:rPr>
                <w:rFonts w:eastAsia="Times New Roman" w:cs="Calibri"/>
                <w:color w:val="000000"/>
                <w:sz w:val="18"/>
                <w:szCs w:val="18"/>
              </w:rPr>
            </w:pPr>
            <w:r w:rsidRPr="00B85E14">
              <w:rPr>
                <w:rFonts w:eastAsia="Times New Roman" w:cs="Calibri"/>
                <w:color w:val="000000"/>
                <w:sz w:val="18"/>
                <w:szCs w:val="18"/>
              </w:rPr>
              <w:t>Městské</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211</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6,94%</w:t>
            </w: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0B2982" w:rsidP="00B85E14">
            <w:pPr>
              <w:spacing w:line="240" w:lineRule="auto"/>
              <w:jc w:val="left"/>
              <w:rPr>
                <w:rFonts w:eastAsia="Times New Roman" w:cs="Calibri"/>
                <w:color w:val="000000"/>
                <w:sz w:val="18"/>
                <w:szCs w:val="18"/>
              </w:rPr>
            </w:pPr>
            <w:r>
              <w:rPr>
                <w:rFonts w:eastAsia="Times New Roman" w:cs="Calibri"/>
                <w:color w:val="000000"/>
                <w:sz w:val="18"/>
                <w:szCs w:val="18"/>
              </w:rPr>
              <w:t xml:space="preserve">      </w:t>
            </w:r>
            <w:r w:rsidR="00D16286" w:rsidRPr="00B85E14">
              <w:rPr>
                <w:rFonts w:eastAsia="Times New Roman" w:cs="Calibri"/>
                <w:color w:val="000000"/>
                <w:sz w:val="18"/>
                <w:szCs w:val="18"/>
              </w:rPr>
              <w:t>z toho DPS</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2,04%</w:t>
            </w: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left"/>
              <w:rPr>
                <w:rFonts w:eastAsia="Times New Roman" w:cs="Calibri"/>
                <w:color w:val="000000"/>
                <w:sz w:val="18"/>
                <w:szCs w:val="18"/>
              </w:rPr>
            </w:pPr>
            <w:r w:rsidRPr="00B85E14">
              <w:rPr>
                <w:rFonts w:eastAsia="Times New Roman" w:cs="Calibri"/>
                <w:color w:val="000000"/>
                <w:sz w:val="18"/>
                <w:szCs w:val="18"/>
              </w:rPr>
              <w:t>Bytové domy ostatní</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1239</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40,76%</w:t>
            </w: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left"/>
              <w:rPr>
                <w:rFonts w:eastAsia="Times New Roman" w:cs="Calibri"/>
                <w:color w:val="000000"/>
                <w:sz w:val="18"/>
                <w:szCs w:val="18"/>
              </w:rPr>
            </w:pPr>
            <w:r w:rsidRPr="00B85E14">
              <w:rPr>
                <w:rFonts w:eastAsia="Times New Roman" w:cs="Calibri"/>
                <w:color w:val="000000"/>
                <w:sz w:val="18"/>
                <w:szCs w:val="18"/>
              </w:rPr>
              <w:t>Rodinné domy</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1590</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52,30%</w:t>
            </w:r>
          </w:p>
        </w:tc>
      </w:tr>
    </w:tbl>
    <w:p w:rsidR="000F3A80" w:rsidRPr="001E4471" w:rsidRDefault="000F3A80" w:rsidP="000F3A80">
      <w:pPr>
        <w:pStyle w:val="AQE1"/>
        <w:numPr>
          <w:ilvl w:val="0"/>
          <w:numId w:val="6"/>
        </w:numPr>
        <w:rPr>
          <w:sz w:val="28"/>
          <w:szCs w:val="28"/>
          <w:lang w:val="cs-CZ"/>
        </w:rPr>
      </w:pPr>
      <w:bookmarkStart w:id="48" w:name="_Toc34910896"/>
      <w:r w:rsidRPr="001E4471">
        <w:rPr>
          <w:sz w:val="28"/>
          <w:szCs w:val="28"/>
          <w:lang w:val="cs-CZ"/>
        </w:rPr>
        <w:lastRenderedPageBreak/>
        <w:t>Pronájmy majetku</w:t>
      </w:r>
      <w:bookmarkEnd w:id="48"/>
    </w:p>
    <w:p w:rsidR="00961DB1" w:rsidRPr="001E4471" w:rsidRDefault="00961DB1" w:rsidP="008E04E7">
      <w:pPr>
        <w:pStyle w:val="Nadpis2"/>
        <w:numPr>
          <w:ilvl w:val="1"/>
          <w:numId w:val="6"/>
        </w:numPr>
        <w:pBdr>
          <w:bottom w:val="none" w:sz="0" w:space="0" w:color="auto"/>
        </w:pBdr>
        <w:rPr>
          <w:b/>
          <w:bCs w:val="0"/>
          <w:color w:val="404040" w:themeColor="text1" w:themeTint="BF"/>
          <w:sz w:val="22"/>
          <w:szCs w:val="22"/>
        </w:rPr>
      </w:pPr>
      <w:bookmarkStart w:id="49" w:name="_Toc34910897"/>
      <w:r w:rsidRPr="001E4471">
        <w:rPr>
          <w:b/>
          <w:bCs w:val="0"/>
          <w:color w:val="404040" w:themeColor="text1" w:themeTint="BF"/>
          <w:sz w:val="22"/>
          <w:szCs w:val="22"/>
        </w:rPr>
        <w:t>Pronájem (nájemní smlouvy) bytových jednotek</w:t>
      </w:r>
      <w:bookmarkEnd w:id="49"/>
    </w:p>
    <w:p w:rsidR="00961DB1" w:rsidRPr="00F05660" w:rsidRDefault="009E7BBC" w:rsidP="00961DB1">
      <w:pPr>
        <w:rPr>
          <w:sz w:val="20"/>
          <w:szCs w:val="20"/>
        </w:rPr>
      </w:pPr>
      <w:r w:rsidRPr="00F05660">
        <w:rPr>
          <w:sz w:val="20"/>
          <w:szCs w:val="20"/>
        </w:rPr>
        <w:t xml:space="preserve">Město dlouhé roky uzavíralo nájemní smlouvy na dobu neurčitou, až v poslední </w:t>
      </w:r>
      <w:r w:rsidR="000B2982">
        <w:rPr>
          <w:sz w:val="20"/>
          <w:szCs w:val="20"/>
        </w:rPr>
        <w:t xml:space="preserve">době </w:t>
      </w:r>
      <w:r w:rsidRPr="00F05660">
        <w:rPr>
          <w:sz w:val="20"/>
          <w:szCs w:val="20"/>
        </w:rPr>
        <w:t>přistoupilo u nově uzavíraných smluv na pronájem na dobu určitou. Většina nájemníků tak stále má smlouvy na dobu neurčitou.</w:t>
      </w:r>
      <w:r w:rsidR="00F05660">
        <w:rPr>
          <w:sz w:val="20"/>
          <w:szCs w:val="20"/>
        </w:rPr>
        <w:t xml:space="preserve"> Následující tabulka poskytuje přehled bytových domů, ve kterých město v rozhodném okamžiku vlastnilo alespoň jednu bytovou jednotku s uvedeným počtem bytů, celkovou rozlohou bytů a počtem volných bytů (současný stav již může být mírně odlišný). Měsíční nájemné shrnuje celkové částky současného nájemného za jednotlivé domy</w:t>
      </w:r>
      <w:r w:rsidR="00E87367">
        <w:rPr>
          <w:sz w:val="20"/>
          <w:szCs w:val="20"/>
        </w:rPr>
        <w:t>.</w:t>
      </w:r>
    </w:p>
    <w:p w:rsidR="00192A34" w:rsidRDefault="00192A34" w:rsidP="00961DB1">
      <w:pPr>
        <w:rPr>
          <w:sz w:val="20"/>
          <w:szCs w:val="20"/>
          <w:highlight w:val="yellow"/>
        </w:rPr>
      </w:pPr>
    </w:p>
    <w:p w:rsidR="000657FD" w:rsidRPr="000657FD" w:rsidRDefault="000657FD" w:rsidP="000657FD">
      <w:pPr>
        <w:pStyle w:val="tabulka"/>
        <w:numPr>
          <w:ilvl w:val="0"/>
          <w:numId w:val="32"/>
        </w:numPr>
        <w:tabs>
          <w:tab w:val="clear" w:pos="1418"/>
        </w:tabs>
        <w:spacing w:before="120" w:after="120"/>
        <w:ind w:left="1701" w:hanging="1701"/>
        <w:rPr>
          <w:sz w:val="20"/>
          <w:szCs w:val="20"/>
        </w:rPr>
      </w:pPr>
      <w:bookmarkStart w:id="50" w:name="_Toc25758081"/>
      <w:r w:rsidRPr="000657FD">
        <w:rPr>
          <w:sz w:val="20"/>
          <w:szCs w:val="20"/>
        </w:rPr>
        <w:t>Soupis bytových domů s plochou, byty a nájmy</w:t>
      </w:r>
      <w:bookmarkEnd w:id="50"/>
    </w:p>
    <w:tbl>
      <w:tblPr>
        <w:tblW w:w="8760" w:type="dxa"/>
        <w:tblInd w:w="55" w:type="dxa"/>
        <w:tblCellMar>
          <w:left w:w="70" w:type="dxa"/>
          <w:right w:w="70" w:type="dxa"/>
        </w:tblCellMar>
        <w:tblLook w:val="04A0" w:firstRow="1" w:lastRow="0" w:firstColumn="1" w:lastColumn="0" w:noHBand="0" w:noVBand="1"/>
      </w:tblPr>
      <w:tblGrid>
        <w:gridCol w:w="2340"/>
        <w:gridCol w:w="1520"/>
        <w:gridCol w:w="1440"/>
        <w:gridCol w:w="1880"/>
        <w:gridCol w:w="1580"/>
      </w:tblGrid>
      <w:tr w:rsidR="00677708" w:rsidRPr="00677708" w:rsidTr="00677708">
        <w:trPr>
          <w:trHeight w:val="480"/>
        </w:trPr>
        <w:tc>
          <w:tcPr>
            <w:tcW w:w="2340"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Bytový dům</w:t>
            </w:r>
          </w:p>
        </w:tc>
        <w:tc>
          <w:tcPr>
            <w:tcW w:w="1520" w:type="dxa"/>
            <w:tcBorders>
              <w:top w:val="single" w:sz="4" w:space="0" w:color="auto"/>
              <w:left w:val="nil"/>
              <w:bottom w:val="single" w:sz="4" w:space="0" w:color="auto"/>
              <w:right w:val="single" w:sz="4" w:space="0" w:color="auto"/>
            </w:tcBorders>
            <w:shd w:val="clear" w:color="auto" w:fill="FF9900"/>
            <w:noWrap/>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počet bytů</w:t>
            </w:r>
          </w:p>
        </w:tc>
        <w:tc>
          <w:tcPr>
            <w:tcW w:w="1440" w:type="dxa"/>
            <w:tcBorders>
              <w:top w:val="single" w:sz="4" w:space="0" w:color="auto"/>
              <w:left w:val="nil"/>
              <w:bottom w:val="single" w:sz="4" w:space="0" w:color="auto"/>
              <w:right w:val="single" w:sz="4" w:space="0" w:color="auto"/>
            </w:tcBorders>
            <w:shd w:val="clear" w:color="auto" w:fill="FF9900"/>
            <w:noWrap/>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m</w:t>
            </w:r>
            <w:r w:rsidRPr="00677708">
              <w:rPr>
                <w:rFonts w:eastAsia="Times New Roman"/>
                <w:b/>
                <w:bCs/>
                <w:color w:val="000000"/>
                <w:sz w:val="18"/>
                <w:szCs w:val="18"/>
                <w:vertAlign w:val="superscript"/>
              </w:rPr>
              <w:t xml:space="preserve">2 </w:t>
            </w:r>
            <w:r w:rsidRPr="00677708">
              <w:rPr>
                <w:rFonts w:eastAsia="Times New Roman"/>
                <w:b/>
                <w:bCs/>
                <w:color w:val="000000"/>
                <w:sz w:val="18"/>
                <w:szCs w:val="18"/>
              </w:rPr>
              <w:t>celkem</w:t>
            </w:r>
          </w:p>
        </w:tc>
        <w:tc>
          <w:tcPr>
            <w:tcW w:w="1880" w:type="dxa"/>
            <w:tcBorders>
              <w:top w:val="single" w:sz="4" w:space="0" w:color="auto"/>
              <w:left w:val="nil"/>
              <w:bottom w:val="single" w:sz="4" w:space="0" w:color="auto"/>
              <w:right w:val="single" w:sz="4" w:space="0" w:color="auto"/>
            </w:tcBorders>
            <w:shd w:val="clear" w:color="auto" w:fill="FF9900"/>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Měsíční nájemné (v Kč)</w:t>
            </w:r>
          </w:p>
        </w:tc>
        <w:tc>
          <w:tcPr>
            <w:tcW w:w="1580" w:type="dxa"/>
            <w:tcBorders>
              <w:top w:val="single" w:sz="4" w:space="0" w:color="auto"/>
              <w:left w:val="nil"/>
              <w:bottom w:val="single" w:sz="4" w:space="0" w:color="auto"/>
              <w:right w:val="single" w:sz="4" w:space="0" w:color="auto"/>
            </w:tcBorders>
            <w:shd w:val="clear" w:color="auto" w:fill="FF9900"/>
            <w:noWrap/>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Poznámka</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Koláčkovo nám. 108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129,04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6 452,00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Fügnerova 109</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434,19</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20 394,10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krizový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Fügnerova 110</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291,25</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12 168,00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Palackého nám. 123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411,42</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21 058,49</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Bučovická 187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292,77</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15 232,25</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Úzká 643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215,86</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10 594,23</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115,34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6 920,40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1154</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56,41</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3 384,60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54,97</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3 298,20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61,54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3 692,40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1191</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619,73</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37 183,80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1192</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619,03</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37 141,80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1193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620,18</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37 210,80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1227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539,11</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32 346,60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1228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515,59</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30 935,40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1229</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523,20</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31 392,00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1230</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590,08</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35 404,80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1237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525,64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31 538,40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1357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524,80</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31 488,00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1358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517,99</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31 079,40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1482</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204,24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11 335,32</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1496</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281,64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15 631,02</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1497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281,64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15 631,02</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1498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281,64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15 323,94</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677708" w:rsidRPr="00677708" w:rsidRDefault="00677708" w:rsidP="00677708">
            <w:pPr>
              <w:spacing w:line="240" w:lineRule="auto"/>
              <w:jc w:val="left"/>
              <w:rPr>
                <w:rFonts w:eastAsia="Times New Roman"/>
                <w:b/>
                <w:bCs/>
                <w:color w:val="000000"/>
                <w:sz w:val="18"/>
                <w:szCs w:val="18"/>
              </w:rPr>
            </w:pPr>
            <w:r w:rsidRPr="00677708">
              <w:rPr>
                <w:rFonts w:eastAsia="Times New Roman"/>
                <w:b/>
                <w:bCs/>
                <w:color w:val="000000"/>
                <w:sz w:val="18"/>
                <w:szCs w:val="18"/>
              </w:rPr>
              <w:t>Celkem za BJ</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150</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8 707,30</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496 836,97</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87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DPS, Polní 1444</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2 581,25</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143 259,38</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b/>
                <w:bCs/>
                <w:color w:val="000000"/>
                <w:sz w:val="18"/>
                <w:szCs w:val="18"/>
              </w:rPr>
            </w:pPr>
            <w:r w:rsidRPr="00677708">
              <w:rPr>
                <w:rFonts w:eastAsia="Times New Roman"/>
                <w:b/>
                <w:bCs/>
                <w:color w:val="000000"/>
                <w:sz w:val="18"/>
                <w:szCs w:val="18"/>
              </w:rPr>
              <w:t>Celkem včetně DPS</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212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11 288,55</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640 096,35</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bl>
    <w:p w:rsidR="00677708" w:rsidRPr="00CE7DF8" w:rsidRDefault="00677708" w:rsidP="00961DB1">
      <w:pPr>
        <w:rPr>
          <w:sz w:val="20"/>
          <w:szCs w:val="20"/>
          <w:highlight w:val="yellow"/>
        </w:rPr>
      </w:pPr>
    </w:p>
    <w:p w:rsidR="00961DB1" w:rsidRPr="001E4471" w:rsidRDefault="00961DB1" w:rsidP="008E04E7">
      <w:pPr>
        <w:pStyle w:val="Nadpis2"/>
        <w:numPr>
          <w:ilvl w:val="1"/>
          <w:numId w:val="6"/>
        </w:numPr>
        <w:pBdr>
          <w:bottom w:val="none" w:sz="0" w:space="0" w:color="auto"/>
        </w:pBdr>
        <w:rPr>
          <w:b/>
          <w:bCs w:val="0"/>
          <w:color w:val="404040" w:themeColor="text1" w:themeTint="BF"/>
          <w:sz w:val="22"/>
          <w:szCs w:val="22"/>
        </w:rPr>
      </w:pPr>
      <w:bookmarkStart w:id="51" w:name="_Toc34910898"/>
      <w:r w:rsidRPr="001E4471">
        <w:rPr>
          <w:b/>
          <w:bCs w:val="0"/>
          <w:color w:val="404040" w:themeColor="text1" w:themeTint="BF"/>
          <w:sz w:val="22"/>
          <w:szCs w:val="22"/>
        </w:rPr>
        <w:t>Pronájem nebytových prostor</w:t>
      </w:r>
      <w:bookmarkEnd w:id="51"/>
    </w:p>
    <w:p w:rsidR="00961DB1" w:rsidRPr="002754EC" w:rsidRDefault="002754EC" w:rsidP="00961DB1">
      <w:pPr>
        <w:rPr>
          <w:sz w:val="20"/>
          <w:szCs w:val="20"/>
        </w:rPr>
      </w:pPr>
      <w:r w:rsidRPr="002754EC">
        <w:rPr>
          <w:sz w:val="20"/>
          <w:szCs w:val="20"/>
        </w:rPr>
        <w:t xml:space="preserve">Město pronajímá také nebytové prostory ve svých budovách. </w:t>
      </w:r>
      <w:r>
        <w:rPr>
          <w:sz w:val="20"/>
          <w:szCs w:val="20"/>
        </w:rPr>
        <w:t xml:space="preserve">Rozsahem největšími pronajímanými prostory jsou budovy polikliniky, které jsou pronajaty především lékařům, dále pak zde sídlí Záchranná služba, </w:t>
      </w:r>
      <w:proofErr w:type="spellStart"/>
      <w:r>
        <w:rPr>
          <w:sz w:val="20"/>
          <w:szCs w:val="20"/>
        </w:rPr>
        <w:t>Diaklub</w:t>
      </w:r>
      <w:proofErr w:type="spellEnd"/>
      <w:r>
        <w:rPr>
          <w:sz w:val="20"/>
          <w:szCs w:val="20"/>
        </w:rPr>
        <w:t xml:space="preserve"> a Klub seniorů.</w:t>
      </w:r>
      <w:r w:rsidR="000E400E">
        <w:rPr>
          <w:sz w:val="20"/>
          <w:szCs w:val="20"/>
        </w:rPr>
        <w:t xml:space="preserve"> Druhými největšími prostory disponuje Společenské centrum Bonaparte, kde jsou restaurace, obchodní prostory a</w:t>
      </w:r>
      <w:r w:rsidR="00B93152">
        <w:rPr>
          <w:sz w:val="20"/>
          <w:szCs w:val="20"/>
        </w:rPr>
        <w:t> </w:t>
      </w:r>
      <w:r w:rsidR="000E400E">
        <w:rPr>
          <w:sz w:val="20"/>
          <w:szCs w:val="20"/>
        </w:rPr>
        <w:t xml:space="preserve">sportovní centrum (posilovna). Prostory využívají také dvě neziskové organizace – </w:t>
      </w:r>
      <w:proofErr w:type="spellStart"/>
      <w:r w:rsidR="000E400E">
        <w:rPr>
          <w:sz w:val="20"/>
          <w:szCs w:val="20"/>
        </w:rPr>
        <w:t>Ekoklub</w:t>
      </w:r>
      <w:proofErr w:type="spellEnd"/>
      <w:r w:rsidR="000E400E">
        <w:rPr>
          <w:sz w:val="20"/>
          <w:szCs w:val="20"/>
        </w:rPr>
        <w:t xml:space="preserve"> Pampeliška a </w:t>
      </w:r>
      <w:r w:rsidR="001E4471">
        <w:rPr>
          <w:sz w:val="20"/>
          <w:szCs w:val="20"/>
        </w:rPr>
        <w:t>D</w:t>
      </w:r>
      <w:r w:rsidR="000E400E">
        <w:rPr>
          <w:sz w:val="20"/>
          <w:szCs w:val="20"/>
        </w:rPr>
        <w:t>ivadelní spolek.</w:t>
      </w:r>
      <w:r w:rsidR="000657FD">
        <w:rPr>
          <w:sz w:val="20"/>
          <w:szCs w:val="20"/>
        </w:rPr>
        <w:t xml:space="preserve"> </w:t>
      </w:r>
      <w:r w:rsidR="006575C5">
        <w:rPr>
          <w:sz w:val="20"/>
          <w:szCs w:val="20"/>
        </w:rPr>
        <w:t>T</w:t>
      </w:r>
      <w:r w:rsidR="000657FD">
        <w:rPr>
          <w:sz w:val="20"/>
          <w:szCs w:val="20"/>
        </w:rPr>
        <w:t>řet</w:t>
      </w:r>
      <w:r w:rsidR="006575C5">
        <w:rPr>
          <w:sz w:val="20"/>
          <w:szCs w:val="20"/>
        </w:rPr>
        <w:t xml:space="preserve">ím největším fondem pronajaté plochy disponuje historický dům na Palackého nám. 89, který je nemovitou kulturní památkou </w:t>
      </w:r>
      <w:r w:rsidR="006575C5">
        <w:rPr>
          <w:sz w:val="20"/>
          <w:szCs w:val="20"/>
        </w:rPr>
        <w:lastRenderedPageBreak/>
        <w:t>a</w:t>
      </w:r>
      <w:r w:rsidR="00B93152">
        <w:rPr>
          <w:sz w:val="20"/>
          <w:szCs w:val="20"/>
        </w:rPr>
        <w:t> </w:t>
      </w:r>
      <w:r w:rsidR="006575C5">
        <w:rPr>
          <w:sz w:val="20"/>
          <w:szCs w:val="20"/>
        </w:rPr>
        <w:t xml:space="preserve">kde sídlí především Finanční úřad, banka a VZP. Z ostatních budov má největší plochy administrativní budova na Koláčkově náměstí, vystavěná v roce 1975, kde </w:t>
      </w:r>
      <w:r w:rsidR="00DB1ED1">
        <w:rPr>
          <w:sz w:val="20"/>
          <w:szCs w:val="20"/>
        </w:rPr>
        <w:t xml:space="preserve">jsou typičtí komerční nájemníci neposkytující primárně základní služby občanům. Specifickým případem je pronájem části prostor v areálu národní kulturní památky – Zámku Slavkov – </w:t>
      </w:r>
      <w:proofErr w:type="spellStart"/>
      <w:r w:rsidR="00DB1ED1">
        <w:rPr>
          <w:sz w:val="20"/>
          <w:szCs w:val="20"/>
        </w:rPr>
        <w:t>Austerlitz</w:t>
      </w:r>
      <w:proofErr w:type="spellEnd"/>
      <w:r w:rsidR="00DB1ED1">
        <w:rPr>
          <w:sz w:val="20"/>
          <w:szCs w:val="20"/>
        </w:rPr>
        <w:t>. Zbylé pronajímané prostory jsou menší a v naprosté většině slouží k službám občanům a občanské vybavenosti. Struktura nájemníků a skutečnost, že se většinově jedná o poskytování základních služeb občanům</w:t>
      </w:r>
      <w:r w:rsidR="00393F68">
        <w:rPr>
          <w:sz w:val="20"/>
          <w:szCs w:val="20"/>
        </w:rPr>
        <w:t>,</w:t>
      </w:r>
      <w:r w:rsidR="00DB1ED1">
        <w:rPr>
          <w:sz w:val="20"/>
          <w:szCs w:val="20"/>
        </w:rPr>
        <w:t xml:space="preserve"> přináší z ekonomického hlediska ne právě dobrý stav, kdy město vybírá nájemné pod reálnými náklady na údržbu těchto nemovitostí.</w:t>
      </w:r>
      <w:r w:rsidR="00393F68">
        <w:rPr>
          <w:sz w:val="20"/>
          <w:szCs w:val="20"/>
        </w:rPr>
        <w:t xml:space="preserve"> Bohužel ani mnozí typicky komerční nájemníci díky historicky uzavřeným smlouvám na dobu neurčitou neplatí nájemné, které by pokrývalo současné náklady.</w:t>
      </w:r>
    </w:p>
    <w:p w:rsidR="002754EC" w:rsidRDefault="002754EC" w:rsidP="00961DB1">
      <w:pPr>
        <w:rPr>
          <w:sz w:val="20"/>
          <w:szCs w:val="20"/>
          <w:highlight w:val="yellow"/>
        </w:rPr>
      </w:pPr>
    </w:p>
    <w:p w:rsidR="000657FD" w:rsidRPr="000657FD" w:rsidRDefault="000657FD" w:rsidP="000657FD">
      <w:pPr>
        <w:pStyle w:val="tabulka"/>
        <w:numPr>
          <w:ilvl w:val="0"/>
          <w:numId w:val="32"/>
        </w:numPr>
        <w:tabs>
          <w:tab w:val="clear" w:pos="1418"/>
        </w:tabs>
        <w:spacing w:before="120" w:after="120"/>
        <w:ind w:left="1701" w:hanging="1701"/>
        <w:rPr>
          <w:sz w:val="20"/>
          <w:szCs w:val="20"/>
        </w:rPr>
      </w:pPr>
      <w:bookmarkStart w:id="52" w:name="_Toc25758082"/>
      <w:r w:rsidRPr="000657FD">
        <w:rPr>
          <w:sz w:val="20"/>
          <w:szCs w:val="20"/>
        </w:rPr>
        <w:t>Soupis budov s pronajímanými nebytovými prostory, počty nájemců a nájmy</w:t>
      </w:r>
      <w:bookmarkEnd w:id="52"/>
    </w:p>
    <w:p w:rsidR="000657FD" w:rsidRDefault="000657FD" w:rsidP="00961DB1">
      <w:pPr>
        <w:rPr>
          <w:sz w:val="20"/>
          <w:szCs w:val="20"/>
          <w:highlight w:val="yellow"/>
        </w:rPr>
      </w:pPr>
    </w:p>
    <w:tbl>
      <w:tblPr>
        <w:tblW w:w="5000" w:type="pct"/>
        <w:tblLayout w:type="fixed"/>
        <w:tblCellMar>
          <w:left w:w="70" w:type="dxa"/>
          <w:right w:w="70" w:type="dxa"/>
        </w:tblCellMar>
        <w:tblLook w:val="04A0" w:firstRow="1" w:lastRow="0" w:firstColumn="1" w:lastColumn="0" w:noHBand="0" w:noVBand="1"/>
      </w:tblPr>
      <w:tblGrid>
        <w:gridCol w:w="2262"/>
        <w:gridCol w:w="1071"/>
        <w:gridCol w:w="1277"/>
        <w:gridCol w:w="1273"/>
        <w:gridCol w:w="3329"/>
      </w:tblGrid>
      <w:tr w:rsidR="00D22AB3" w:rsidRPr="00D22AB3" w:rsidTr="00D22AB3">
        <w:trPr>
          <w:trHeight w:val="804"/>
          <w:tblHeader/>
        </w:trPr>
        <w:tc>
          <w:tcPr>
            <w:tcW w:w="1227" w:type="pct"/>
            <w:tcBorders>
              <w:top w:val="single" w:sz="4" w:space="0" w:color="auto"/>
              <w:left w:val="single" w:sz="4" w:space="0" w:color="auto"/>
              <w:bottom w:val="single" w:sz="4" w:space="0" w:color="auto"/>
              <w:right w:val="single" w:sz="4" w:space="0" w:color="auto"/>
            </w:tcBorders>
            <w:shd w:val="clear" w:color="auto" w:fill="FF9900"/>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Nemovitost</w:t>
            </w:r>
          </w:p>
        </w:tc>
        <w:tc>
          <w:tcPr>
            <w:tcW w:w="581" w:type="pct"/>
            <w:tcBorders>
              <w:top w:val="single" w:sz="4" w:space="0" w:color="auto"/>
              <w:left w:val="nil"/>
              <w:bottom w:val="single" w:sz="4" w:space="0" w:color="auto"/>
              <w:right w:val="single" w:sz="4" w:space="0" w:color="auto"/>
            </w:tcBorders>
            <w:shd w:val="clear" w:color="auto" w:fill="FF9900"/>
            <w:noWrap/>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počet nájemců</w:t>
            </w:r>
          </w:p>
        </w:tc>
        <w:tc>
          <w:tcPr>
            <w:tcW w:w="693" w:type="pct"/>
            <w:tcBorders>
              <w:top w:val="single" w:sz="4" w:space="0" w:color="auto"/>
              <w:left w:val="nil"/>
              <w:bottom w:val="single" w:sz="4" w:space="0" w:color="auto"/>
              <w:right w:val="single" w:sz="4" w:space="0" w:color="auto"/>
            </w:tcBorders>
            <w:shd w:val="clear" w:color="auto" w:fill="FF9900"/>
            <w:noWrap/>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m</w:t>
            </w:r>
            <w:r w:rsidRPr="00D22AB3">
              <w:rPr>
                <w:rFonts w:eastAsia="Times New Roman"/>
                <w:b/>
                <w:bCs/>
                <w:color w:val="000000"/>
                <w:sz w:val="18"/>
                <w:szCs w:val="18"/>
                <w:vertAlign w:val="superscript"/>
              </w:rPr>
              <w:t xml:space="preserve">2 </w:t>
            </w:r>
            <w:r w:rsidRPr="00D22AB3">
              <w:rPr>
                <w:rFonts w:eastAsia="Times New Roman"/>
                <w:b/>
                <w:bCs/>
                <w:color w:val="000000"/>
                <w:sz w:val="18"/>
                <w:szCs w:val="18"/>
              </w:rPr>
              <w:t>celkem</w:t>
            </w:r>
          </w:p>
        </w:tc>
        <w:tc>
          <w:tcPr>
            <w:tcW w:w="691" w:type="pct"/>
            <w:tcBorders>
              <w:top w:val="single" w:sz="4" w:space="0" w:color="auto"/>
              <w:left w:val="nil"/>
              <w:bottom w:val="single" w:sz="4" w:space="0" w:color="auto"/>
              <w:right w:val="single" w:sz="4" w:space="0" w:color="auto"/>
            </w:tcBorders>
            <w:shd w:val="clear" w:color="auto" w:fill="FF9900"/>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Průměrné nájemné m</w:t>
            </w:r>
            <w:r w:rsidRPr="00D22AB3">
              <w:rPr>
                <w:rFonts w:eastAsia="Times New Roman"/>
                <w:b/>
                <w:bCs/>
                <w:color w:val="000000"/>
                <w:sz w:val="18"/>
                <w:szCs w:val="18"/>
                <w:vertAlign w:val="superscript"/>
              </w:rPr>
              <w:t>2</w:t>
            </w:r>
            <w:r w:rsidRPr="00D22AB3">
              <w:rPr>
                <w:rFonts w:eastAsia="Times New Roman"/>
                <w:b/>
                <w:bCs/>
                <w:color w:val="000000"/>
                <w:sz w:val="18"/>
                <w:szCs w:val="18"/>
              </w:rPr>
              <w:t>/rok (v</w:t>
            </w:r>
            <w:r>
              <w:rPr>
                <w:rFonts w:eastAsia="Times New Roman"/>
                <w:b/>
                <w:bCs/>
                <w:color w:val="000000"/>
                <w:sz w:val="18"/>
                <w:szCs w:val="18"/>
              </w:rPr>
              <w:t> </w:t>
            </w:r>
            <w:r w:rsidRPr="00D22AB3">
              <w:rPr>
                <w:rFonts w:eastAsia="Times New Roman"/>
                <w:b/>
                <w:bCs/>
                <w:color w:val="000000"/>
                <w:sz w:val="18"/>
                <w:szCs w:val="18"/>
              </w:rPr>
              <w:t>Kč)</w:t>
            </w:r>
          </w:p>
        </w:tc>
        <w:tc>
          <w:tcPr>
            <w:tcW w:w="1807" w:type="pct"/>
            <w:tcBorders>
              <w:top w:val="single" w:sz="4" w:space="0" w:color="auto"/>
              <w:left w:val="nil"/>
              <w:bottom w:val="single" w:sz="4" w:space="0" w:color="auto"/>
              <w:right w:val="single" w:sz="4" w:space="0" w:color="auto"/>
            </w:tcBorders>
            <w:shd w:val="clear" w:color="auto" w:fill="FF9900"/>
            <w:noWrap/>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Poznámka</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xml:space="preserve">Palackého nám. 1 - </w:t>
            </w:r>
            <w:r w:rsidRPr="00D22AB3">
              <w:rPr>
                <w:rFonts w:eastAsia="Times New Roman"/>
                <w:color w:val="000000"/>
                <w:sz w:val="14"/>
                <w:szCs w:val="14"/>
              </w:rPr>
              <w:t>zámek</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5</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631,26</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952,82</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65</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266,66</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849,00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89</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5</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929,40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734,10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Malinovského nám. 986</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414,40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 </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1 Kč/rok (HZS JMK)</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xml:space="preserve">Palackého nám. 262 - </w:t>
            </w:r>
            <w:r w:rsidRPr="00D22AB3">
              <w:rPr>
                <w:rFonts w:eastAsia="Times New Roman"/>
                <w:color w:val="000000"/>
                <w:sz w:val="14"/>
                <w:szCs w:val="14"/>
              </w:rPr>
              <w:t>kino</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41,20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 </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1 000 Kč/rok (TJ Sokol)</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123</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2</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327,16</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1 153,75</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Polní 1444</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2</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348,25</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176,42</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61 440 Kč/rok (Charita)</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Koláčkovo nám.</w:t>
            </w:r>
            <w:r w:rsidR="000B2982">
              <w:rPr>
                <w:rFonts w:eastAsia="Times New Roman"/>
                <w:color w:val="000000"/>
                <w:sz w:val="16"/>
                <w:szCs w:val="16"/>
              </w:rPr>
              <w:t xml:space="preserve"> </w:t>
            </w:r>
            <w:r w:rsidRPr="00D22AB3">
              <w:rPr>
                <w:rFonts w:eastAsia="Times New Roman"/>
                <w:color w:val="000000"/>
                <w:sz w:val="16"/>
                <w:szCs w:val="16"/>
              </w:rPr>
              <w:t>727</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16</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744,29</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1 031,53</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Zlatá Hora 1310</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167,32</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527,00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Bučovická 187</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16,94</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994,00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Atletický stadion</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62,00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1 021,00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126</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5</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1 053,82</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1 331,00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xml:space="preserve">2 x 1 Kč/rok </w:t>
            </w:r>
            <w:proofErr w:type="spellStart"/>
            <w:r w:rsidRPr="00D22AB3">
              <w:rPr>
                <w:rFonts w:eastAsia="Times New Roman"/>
                <w:color w:val="000000"/>
                <w:sz w:val="16"/>
                <w:szCs w:val="16"/>
              </w:rPr>
              <w:t>Ekoklub</w:t>
            </w:r>
            <w:proofErr w:type="spellEnd"/>
            <w:r w:rsidRPr="00D22AB3">
              <w:rPr>
                <w:rFonts w:eastAsia="Times New Roman"/>
                <w:color w:val="000000"/>
                <w:sz w:val="16"/>
                <w:szCs w:val="16"/>
              </w:rPr>
              <w:t>, divadelní spolek</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proofErr w:type="spellStart"/>
            <w:r w:rsidRPr="00D22AB3">
              <w:rPr>
                <w:rFonts w:eastAsia="Times New Roman"/>
                <w:color w:val="000000"/>
                <w:sz w:val="16"/>
                <w:szCs w:val="16"/>
              </w:rPr>
              <w:t>Kaunicova</w:t>
            </w:r>
            <w:proofErr w:type="spellEnd"/>
            <w:r w:rsidRPr="00D22AB3">
              <w:rPr>
                <w:rFonts w:eastAsia="Times New Roman"/>
                <w:color w:val="000000"/>
                <w:sz w:val="16"/>
                <w:szCs w:val="16"/>
              </w:rPr>
              <w:t xml:space="preserve"> 212 - </w:t>
            </w:r>
            <w:r w:rsidRPr="00D22AB3">
              <w:rPr>
                <w:rFonts w:eastAsia="Times New Roman"/>
                <w:color w:val="000000"/>
                <w:sz w:val="14"/>
                <w:szCs w:val="14"/>
              </w:rPr>
              <w:t>koupaliště</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365,00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1 000,00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Malinovského nám. 288</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403,11</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886,82</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1 Kč/rok (pracoviště RTG)</w:t>
            </w:r>
          </w:p>
        </w:tc>
      </w:tr>
      <w:tr w:rsidR="00D22AB3" w:rsidRPr="00D22AB3" w:rsidTr="00D22AB3">
        <w:trPr>
          <w:trHeight w:val="228"/>
        </w:trPr>
        <w:tc>
          <w:tcPr>
            <w:tcW w:w="1227" w:type="pct"/>
            <w:vMerge/>
            <w:tcBorders>
              <w:top w:val="nil"/>
              <w:left w:val="single" w:sz="4" w:space="0" w:color="auto"/>
              <w:bottom w:val="single" w:sz="4" w:space="0" w:color="auto"/>
              <w:right w:val="single" w:sz="4" w:space="0" w:color="auto"/>
            </w:tcBorders>
            <w:vAlign w:val="center"/>
            <w:hideMark/>
          </w:tcPr>
          <w:p w:rsidR="00D22AB3" w:rsidRPr="00D22AB3" w:rsidRDefault="00D22AB3" w:rsidP="00D22AB3">
            <w:pPr>
              <w:spacing w:line="240" w:lineRule="auto"/>
              <w:jc w:val="left"/>
              <w:rPr>
                <w:rFonts w:eastAsia="Times New Roman"/>
                <w:color w:val="000000"/>
                <w:sz w:val="16"/>
                <w:szCs w:val="16"/>
              </w:rPr>
            </w:pP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 </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127,09</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čekárna, vstup</w:t>
            </w:r>
            <w:r>
              <w:rPr>
                <w:rFonts w:eastAsia="Times New Roman"/>
                <w:color w:val="000000"/>
                <w:sz w:val="16"/>
                <w:szCs w:val="16"/>
              </w:rPr>
              <w:t>.</w:t>
            </w:r>
            <w:r w:rsidRPr="00D22AB3">
              <w:rPr>
                <w:rFonts w:eastAsia="Times New Roman"/>
                <w:color w:val="000000"/>
                <w:sz w:val="16"/>
                <w:szCs w:val="16"/>
              </w:rPr>
              <w:t xml:space="preserve"> </w:t>
            </w:r>
            <w:proofErr w:type="gramStart"/>
            <w:r w:rsidRPr="00D22AB3">
              <w:rPr>
                <w:rFonts w:eastAsia="Times New Roman"/>
                <w:color w:val="000000"/>
                <w:sz w:val="16"/>
                <w:szCs w:val="16"/>
              </w:rPr>
              <w:t>hala</w:t>
            </w:r>
            <w:proofErr w:type="gramEnd"/>
            <w:r w:rsidRPr="00D22AB3">
              <w:rPr>
                <w:rFonts w:eastAsia="Times New Roman"/>
                <w:color w:val="000000"/>
                <w:sz w:val="16"/>
                <w:szCs w:val="16"/>
              </w:rPr>
              <w:t>, soc</w:t>
            </w:r>
            <w:r>
              <w:rPr>
                <w:rFonts w:eastAsia="Times New Roman"/>
                <w:color w:val="000000"/>
                <w:sz w:val="16"/>
                <w:szCs w:val="16"/>
              </w:rPr>
              <w:t>.</w:t>
            </w:r>
            <w:r w:rsidRPr="00D22AB3">
              <w:rPr>
                <w:rFonts w:eastAsia="Times New Roman"/>
                <w:color w:val="000000"/>
                <w:sz w:val="16"/>
                <w:szCs w:val="16"/>
              </w:rPr>
              <w:t xml:space="preserve"> zařízení</w:t>
            </w:r>
          </w:p>
        </w:tc>
      </w:tr>
      <w:tr w:rsidR="00D22AB3" w:rsidRPr="00D22AB3" w:rsidTr="00D22AB3">
        <w:trPr>
          <w:trHeight w:val="228"/>
        </w:trPr>
        <w:tc>
          <w:tcPr>
            <w:tcW w:w="1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Malinovského nám. 551</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12</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538,70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891,33</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vMerge/>
            <w:tcBorders>
              <w:top w:val="nil"/>
              <w:left w:val="single" w:sz="4" w:space="0" w:color="auto"/>
              <w:bottom w:val="single" w:sz="4" w:space="0" w:color="auto"/>
              <w:right w:val="single" w:sz="4" w:space="0" w:color="auto"/>
            </w:tcBorders>
            <w:vAlign w:val="center"/>
            <w:hideMark/>
          </w:tcPr>
          <w:p w:rsidR="00D22AB3" w:rsidRPr="00D22AB3" w:rsidRDefault="00D22AB3" w:rsidP="00D22AB3">
            <w:pPr>
              <w:spacing w:line="240" w:lineRule="auto"/>
              <w:jc w:val="left"/>
              <w:rPr>
                <w:rFonts w:eastAsia="Times New Roman"/>
                <w:color w:val="000000"/>
                <w:sz w:val="16"/>
                <w:szCs w:val="16"/>
              </w:rPr>
            </w:pP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 </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149,51</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čekárna, chodby, sociální zařízení</w:t>
            </w:r>
          </w:p>
        </w:tc>
      </w:tr>
      <w:tr w:rsidR="00D22AB3" w:rsidRPr="00D22AB3" w:rsidTr="00D22AB3">
        <w:trPr>
          <w:trHeight w:val="456"/>
        </w:trPr>
        <w:tc>
          <w:tcPr>
            <w:tcW w:w="1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Tyršova 324</w:t>
            </w:r>
          </w:p>
        </w:tc>
        <w:tc>
          <w:tcPr>
            <w:tcW w:w="581" w:type="pct"/>
            <w:tcBorders>
              <w:top w:val="nil"/>
              <w:left w:val="nil"/>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27</w:t>
            </w:r>
          </w:p>
        </w:tc>
        <w:tc>
          <w:tcPr>
            <w:tcW w:w="693" w:type="pct"/>
            <w:tcBorders>
              <w:top w:val="nil"/>
              <w:left w:val="nil"/>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1 009,54</w:t>
            </w:r>
          </w:p>
        </w:tc>
        <w:tc>
          <w:tcPr>
            <w:tcW w:w="691" w:type="pct"/>
            <w:tcBorders>
              <w:top w:val="nil"/>
              <w:left w:val="nil"/>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871,93</w:t>
            </w:r>
          </w:p>
        </w:tc>
        <w:tc>
          <w:tcPr>
            <w:tcW w:w="1807" w:type="pct"/>
            <w:tcBorders>
              <w:top w:val="nil"/>
              <w:left w:val="nil"/>
              <w:bottom w:val="single" w:sz="4" w:space="0" w:color="auto"/>
              <w:right w:val="single" w:sz="4" w:space="0" w:color="auto"/>
            </w:tcBorders>
            <w:shd w:val="clear" w:color="auto" w:fill="auto"/>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2 004 Kč/rok (</w:t>
            </w:r>
            <w:proofErr w:type="spellStart"/>
            <w:r w:rsidRPr="00D22AB3">
              <w:rPr>
                <w:rFonts w:eastAsia="Times New Roman"/>
                <w:color w:val="000000"/>
                <w:sz w:val="16"/>
                <w:szCs w:val="16"/>
              </w:rPr>
              <w:t>Diaklub</w:t>
            </w:r>
            <w:proofErr w:type="spellEnd"/>
            <w:r w:rsidRPr="00D22AB3">
              <w:rPr>
                <w:rFonts w:eastAsia="Times New Roman"/>
                <w:color w:val="000000"/>
                <w:sz w:val="16"/>
                <w:szCs w:val="16"/>
              </w:rPr>
              <w:t>), 1 Kč/rok (klub seniorů), 32 580 Kč/rok (ZZS)</w:t>
            </w:r>
          </w:p>
        </w:tc>
      </w:tr>
      <w:tr w:rsidR="00D22AB3" w:rsidRPr="00D22AB3" w:rsidTr="00D22AB3">
        <w:trPr>
          <w:trHeight w:val="228"/>
        </w:trPr>
        <w:tc>
          <w:tcPr>
            <w:tcW w:w="1227" w:type="pct"/>
            <w:vMerge/>
            <w:tcBorders>
              <w:top w:val="nil"/>
              <w:left w:val="single" w:sz="4" w:space="0" w:color="auto"/>
              <w:bottom w:val="single" w:sz="4" w:space="0" w:color="auto"/>
              <w:right w:val="single" w:sz="4" w:space="0" w:color="auto"/>
            </w:tcBorders>
            <w:vAlign w:val="center"/>
            <w:hideMark/>
          </w:tcPr>
          <w:p w:rsidR="00D22AB3" w:rsidRPr="00D22AB3" w:rsidRDefault="00D22AB3" w:rsidP="00D22AB3">
            <w:pPr>
              <w:spacing w:line="240" w:lineRule="auto"/>
              <w:jc w:val="left"/>
              <w:rPr>
                <w:rFonts w:eastAsia="Times New Roman"/>
                <w:color w:val="000000"/>
                <w:sz w:val="16"/>
                <w:szCs w:val="16"/>
              </w:rPr>
            </w:pP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 </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524,27</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čekárna, chodby, sociální zařízení</w:t>
            </w:r>
          </w:p>
        </w:tc>
      </w:tr>
    </w:tbl>
    <w:p w:rsidR="00D22AB3" w:rsidRPr="00CE7DF8" w:rsidRDefault="00D22AB3" w:rsidP="00961DB1">
      <w:pPr>
        <w:rPr>
          <w:sz w:val="20"/>
          <w:szCs w:val="20"/>
          <w:highlight w:val="yellow"/>
        </w:rPr>
      </w:pPr>
    </w:p>
    <w:p w:rsidR="005E6CE6" w:rsidRPr="001E4471" w:rsidRDefault="005E6CE6" w:rsidP="008E04E7">
      <w:pPr>
        <w:pStyle w:val="Nadpis2"/>
        <w:numPr>
          <w:ilvl w:val="1"/>
          <w:numId w:val="6"/>
        </w:numPr>
        <w:pBdr>
          <w:bottom w:val="none" w:sz="0" w:space="0" w:color="auto"/>
        </w:pBdr>
        <w:rPr>
          <w:b/>
          <w:bCs w:val="0"/>
          <w:color w:val="404040" w:themeColor="text1" w:themeTint="BF"/>
          <w:sz w:val="22"/>
          <w:szCs w:val="22"/>
        </w:rPr>
      </w:pPr>
      <w:bookmarkStart w:id="53" w:name="_Toc34910899"/>
      <w:r w:rsidRPr="001E4471">
        <w:rPr>
          <w:b/>
          <w:bCs w:val="0"/>
          <w:color w:val="404040" w:themeColor="text1" w:themeTint="BF"/>
          <w:sz w:val="22"/>
          <w:szCs w:val="22"/>
        </w:rPr>
        <w:t>Pronájem pozemků</w:t>
      </w:r>
      <w:bookmarkEnd w:id="53"/>
    </w:p>
    <w:p w:rsidR="00EC7BD6" w:rsidRPr="00256600" w:rsidRDefault="00522475" w:rsidP="00EC7BD6">
      <w:pPr>
        <w:rPr>
          <w:sz w:val="20"/>
          <w:szCs w:val="20"/>
          <w:highlight w:val="yellow"/>
        </w:rPr>
      </w:pPr>
      <w:r w:rsidRPr="00256600">
        <w:rPr>
          <w:sz w:val="20"/>
          <w:szCs w:val="20"/>
        </w:rPr>
        <w:t xml:space="preserve">Město pronajímá </w:t>
      </w:r>
      <w:r w:rsidR="00EC7BD6" w:rsidRPr="00256600">
        <w:rPr>
          <w:sz w:val="20"/>
          <w:szCs w:val="20"/>
        </w:rPr>
        <w:t>1 431 963,34 m</w:t>
      </w:r>
      <w:r w:rsidR="00EC7BD6" w:rsidRPr="00256600">
        <w:rPr>
          <w:sz w:val="20"/>
          <w:szCs w:val="20"/>
          <w:vertAlign w:val="superscript"/>
        </w:rPr>
        <w:t>2</w:t>
      </w:r>
      <w:r w:rsidRPr="00256600">
        <w:rPr>
          <w:sz w:val="20"/>
          <w:szCs w:val="20"/>
        </w:rPr>
        <w:t xml:space="preserve"> z vlastněné výměry</w:t>
      </w:r>
      <w:r w:rsidRPr="00256600">
        <w:rPr>
          <w:sz w:val="20"/>
          <w:szCs w:val="20"/>
          <w:lang w:val="en-US"/>
        </w:rPr>
        <w:t xml:space="preserve"> 3 678 750,11 m</w:t>
      </w:r>
      <w:r w:rsidRPr="00256600">
        <w:rPr>
          <w:sz w:val="20"/>
          <w:szCs w:val="20"/>
          <w:vertAlign w:val="superscript"/>
          <w:lang w:val="en-US"/>
        </w:rPr>
        <w:t>2</w:t>
      </w:r>
      <w:r w:rsidRPr="00256600">
        <w:rPr>
          <w:sz w:val="20"/>
          <w:szCs w:val="20"/>
        </w:rPr>
        <w:t xml:space="preserve">, což činí </w:t>
      </w:r>
      <w:r w:rsidR="009339D6" w:rsidRPr="00256600">
        <w:rPr>
          <w:sz w:val="20"/>
          <w:szCs w:val="20"/>
        </w:rPr>
        <w:t xml:space="preserve">téměř 39%. </w:t>
      </w:r>
      <w:r w:rsidR="001F3293" w:rsidRPr="00256600">
        <w:rPr>
          <w:sz w:val="20"/>
          <w:szCs w:val="20"/>
        </w:rPr>
        <w:t>U této kategorie majetku nebylo možné sestavit stručnou tabulku s vypovídající schopností, jelikož zejména pronájmy ostatních, povětšinou zpevněných, ploch se výrazně liší dle polohy, velikosti, účelu a doby uzavření smlouvy. Částky za metr čtvereční se pohybují od symbolické jedné koruny za pozemek (školní zahrada, manipulační plocha) až po 10 tis. Kč (u nosiče reklamního poutače) za metr čtvereční a</w:t>
      </w:r>
      <w:r w:rsidR="00B93152">
        <w:rPr>
          <w:sz w:val="20"/>
          <w:szCs w:val="20"/>
        </w:rPr>
        <w:t> </w:t>
      </w:r>
      <w:r w:rsidR="001F3293" w:rsidRPr="00256600">
        <w:rPr>
          <w:sz w:val="20"/>
          <w:szCs w:val="20"/>
        </w:rPr>
        <w:t xml:space="preserve">rok. Pouze u zemědělského hospodaření, tj. pronájmu </w:t>
      </w:r>
      <w:r w:rsidR="0024714C" w:rsidRPr="00256600">
        <w:rPr>
          <w:sz w:val="20"/>
          <w:szCs w:val="20"/>
        </w:rPr>
        <w:t>půdy za účelem pěstování plodin, je výše nájmů velmi podobná, kopírující částky obvyklé (cca 35 haléřů za m</w:t>
      </w:r>
      <w:r w:rsidR="0024714C" w:rsidRPr="005F5720">
        <w:rPr>
          <w:sz w:val="20"/>
          <w:szCs w:val="20"/>
          <w:vertAlign w:val="superscript"/>
        </w:rPr>
        <w:t>2</w:t>
      </w:r>
      <w:r w:rsidR="0024714C" w:rsidRPr="00256600">
        <w:rPr>
          <w:sz w:val="20"/>
          <w:szCs w:val="20"/>
        </w:rPr>
        <w:t xml:space="preserve"> ročně), podobně je tomu </w:t>
      </w:r>
      <w:r w:rsidR="00C222D7" w:rsidRPr="00256600">
        <w:rPr>
          <w:sz w:val="20"/>
          <w:szCs w:val="20"/>
        </w:rPr>
        <w:t>také</w:t>
      </w:r>
      <w:r w:rsidR="0024714C" w:rsidRPr="00256600">
        <w:rPr>
          <w:sz w:val="20"/>
          <w:szCs w:val="20"/>
        </w:rPr>
        <w:t xml:space="preserve"> u obou zahrádkářských kolonií. Pronájmy pozemků z</w:t>
      </w:r>
      <w:r w:rsidR="00B93152">
        <w:rPr>
          <w:sz w:val="20"/>
          <w:szCs w:val="20"/>
        </w:rPr>
        <w:t> </w:t>
      </w:r>
      <w:r w:rsidR="0024714C" w:rsidRPr="00256600">
        <w:rPr>
          <w:sz w:val="20"/>
          <w:szCs w:val="20"/>
        </w:rPr>
        <w:t>ekonomického hlediska obvykle nebývají prodělečné, neboť pozemky se neodepisují a</w:t>
      </w:r>
      <w:r w:rsidR="00B93152">
        <w:rPr>
          <w:sz w:val="20"/>
          <w:szCs w:val="20"/>
        </w:rPr>
        <w:t> </w:t>
      </w:r>
      <w:r w:rsidR="0024714C" w:rsidRPr="00256600">
        <w:rPr>
          <w:sz w:val="20"/>
          <w:szCs w:val="20"/>
        </w:rPr>
        <w:t>očekává se, že nájemník dělá základní údržbu ve své režii. Přesto by stálo za zvážení, zdali část smluv na pronájem k ryze komerčním účelům (kde lze očekávat ziskovost</w:t>
      </w:r>
      <w:r w:rsidR="00C222D7" w:rsidRPr="00256600">
        <w:rPr>
          <w:sz w:val="20"/>
          <w:szCs w:val="20"/>
        </w:rPr>
        <w:t xml:space="preserve"> </w:t>
      </w:r>
      <w:r w:rsidR="00C222D7" w:rsidRPr="00256600">
        <w:rPr>
          <w:sz w:val="20"/>
          <w:szCs w:val="20"/>
        </w:rPr>
        <w:lastRenderedPageBreak/>
        <w:t>nájemníka)</w:t>
      </w:r>
      <w:r w:rsidR="0024714C" w:rsidRPr="00256600">
        <w:rPr>
          <w:sz w:val="20"/>
          <w:szCs w:val="20"/>
        </w:rPr>
        <w:t xml:space="preserve">, by nebylo možné </w:t>
      </w:r>
      <w:r w:rsidR="00C222D7" w:rsidRPr="00256600">
        <w:rPr>
          <w:sz w:val="20"/>
          <w:szCs w:val="20"/>
        </w:rPr>
        <w:t>změnit a nájmy navýšit, nicméně vždy je to též otázka komplexního pohledu – tj. jaké další placené služby a za kolik město a jeho organizace těmto subjektům poskytují, resp. co naopak nájemník činí na vlastní náklady.</w:t>
      </w:r>
    </w:p>
    <w:p w:rsidR="00961DB1" w:rsidRDefault="00961DB1" w:rsidP="00961DB1">
      <w:pPr>
        <w:rPr>
          <w:sz w:val="20"/>
          <w:szCs w:val="20"/>
        </w:rPr>
      </w:pPr>
    </w:p>
    <w:p w:rsidR="005E6CE6" w:rsidRPr="00961DB1" w:rsidRDefault="005E6CE6" w:rsidP="00961DB1">
      <w:pPr>
        <w:rPr>
          <w:sz w:val="20"/>
          <w:szCs w:val="20"/>
        </w:rPr>
      </w:pPr>
    </w:p>
    <w:p w:rsidR="00961DB1" w:rsidRPr="00961DB1" w:rsidRDefault="00961DB1" w:rsidP="00961DB1">
      <w:pPr>
        <w:rPr>
          <w:sz w:val="20"/>
          <w:szCs w:val="20"/>
        </w:rPr>
      </w:pPr>
    </w:p>
    <w:p w:rsidR="008B1AD0" w:rsidRDefault="008B1AD0" w:rsidP="00961DB1">
      <w:pPr>
        <w:rPr>
          <w:sz w:val="20"/>
          <w:szCs w:val="20"/>
        </w:rPr>
      </w:pPr>
    </w:p>
    <w:p w:rsidR="00322E8C" w:rsidRPr="00322E8C" w:rsidRDefault="00322E8C" w:rsidP="00322E8C">
      <w:pPr>
        <w:pStyle w:val="AQE1"/>
        <w:numPr>
          <w:ilvl w:val="0"/>
          <w:numId w:val="6"/>
        </w:numPr>
        <w:rPr>
          <w:sz w:val="28"/>
          <w:szCs w:val="28"/>
          <w:lang w:val="cs-CZ"/>
        </w:rPr>
      </w:pPr>
      <w:bookmarkStart w:id="54" w:name="_Toc34910900"/>
      <w:r w:rsidRPr="00322E8C">
        <w:rPr>
          <w:sz w:val="28"/>
          <w:szCs w:val="28"/>
          <w:lang w:val="cs-CZ"/>
        </w:rPr>
        <w:lastRenderedPageBreak/>
        <w:t>Ekonomický rozbor</w:t>
      </w:r>
      <w:bookmarkEnd w:id="54"/>
    </w:p>
    <w:p w:rsidR="00322E8C" w:rsidRDefault="00322E8C" w:rsidP="00961DB1">
      <w:pPr>
        <w:rPr>
          <w:sz w:val="20"/>
          <w:szCs w:val="20"/>
        </w:rPr>
      </w:pPr>
    </w:p>
    <w:p w:rsidR="00322E8C" w:rsidRDefault="00322E8C" w:rsidP="00961DB1">
      <w:pPr>
        <w:rPr>
          <w:sz w:val="20"/>
          <w:szCs w:val="20"/>
        </w:rPr>
      </w:pPr>
      <w:r>
        <w:rPr>
          <w:sz w:val="20"/>
          <w:szCs w:val="20"/>
        </w:rPr>
        <w:t xml:space="preserve">V kapitole 3.4 byly popsány obecné principy finanční analýzy, které jsou v následujícím aplikovány na data města Slavkov u Brna. Zdrojem všech výchozích hodnot analýzy jsou účetní data města. Tyto hodnoty jsou v případě majetku zatíženy skutečností, že účetnictví pracuje s historickými pořizovacími (vstupními) cenami, které </w:t>
      </w:r>
      <w:r w:rsidR="00AF2ED1">
        <w:rPr>
          <w:sz w:val="20"/>
          <w:szCs w:val="20"/>
        </w:rPr>
        <w:t>se mnohdy výrazně liší od současných reálných cen.</w:t>
      </w:r>
    </w:p>
    <w:p w:rsidR="00AF2ED1" w:rsidRDefault="00AF2ED1" w:rsidP="00961DB1">
      <w:pPr>
        <w:rPr>
          <w:sz w:val="20"/>
          <w:szCs w:val="20"/>
        </w:rPr>
      </w:pPr>
      <w:r w:rsidRPr="00AF2ED1">
        <w:rPr>
          <w:sz w:val="20"/>
          <w:szCs w:val="20"/>
        </w:rPr>
        <w:t xml:space="preserve">Z důvodu malé dostupnosti </w:t>
      </w:r>
      <w:r>
        <w:rPr>
          <w:sz w:val="20"/>
          <w:szCs w:val="20"/>
        </w:rPr>
        <w:t xml:space="preserve">podrobnějších </w:t>
      </w:r>
      <w:r w:rsidRPr="00AF2ED1">
        <w:rPr>
          <w:sz w:val="20"/>
          <w:szCs w:val="20"/>
        </w:rPr>
        <w:t xml:space="preserve">dat municipalit, týkající se majetku, </w:t>
      </w:r>
      <w:r>
        <w:rPr>
          <w:sz w:val="20"/>
          <w:szCs w:val="20"/>
        </w:rPr>
        <w:t xml:space="preserve">je </w:t>
      </w:r>
      <w:r w:rsidRPr="00AF2ED1">
        <w:rPr>
          <w:sz w:val="20"/>
          <w:szCs w:val="20"/>
        </w:rPr>
        <w:t xml:space="preserve">pro hodnocení hospodaření s majetkem </w:t>
      </w:r>
      <w:r>
        <w:rPr>
          <w:sz w:val="20"/>
          <w:szCs w:val="20"/>
        </w:rPr>
        <w:t>použita metoda</w:t>
      </w:r>
      <w:r w:rsidRPr="00AF2ED1">
        <w:rPr>
          <w:sz w:val="20"/>
          <w:szCs w:val="20"/>
        </w:rPr>
        <w:t xml:space="preserve"> vnitřního</w:t>
      </w:r>
      <w:r w:rsidR="007A7AF5">
        <w:rPr>
          <w:sz w:val="20"/>
          <w:szCs w:val="20"/>
        </w:rPr>
        <w:t xml:space="preserve"> (interního)</w:t>
      </w:r>
      <w:r w:rsidRPr="00AF2ED1">
        <w:rPr>
          <w:sz w:val="20"/>
          <w:szCs w:val="20"/>
        </w:rPr>
        <w:t xml:space="preserve"> </w:t>
      </w:r>
      <w:proofErr w:type="spellStart"/>
      <w:r w:rsidRPr="00AF2ED1">
        <w:rPr>
          <w:sz w:val="20"/>
          <w:szCs w:val="20"/>
        </w:rPr>
        <w:t>benchmarkingu</w:t>
      </w:r>
      <w:proofErr w:type="spellEnd"/>
      <w:r w:rsidRPr="00AF2ED1">
        <w:rPr>
          <w:sz w:val="20"/>
          <w:szCs w:val="20"/>
        </w:rPr>
        <w:t>.</w:t>
      </w:r>
    </w:p>
    <w:p w:rsidR="00B055F4" w:rsidRDefault="00B055F4" w:rsidP="00961DB1">
      <w:pPr>
        <w:rPr>
          <w:sz w:val="20"/>
          <w:szCs w:val="20"/>
        </w:rPr>
      </w:pPr>
    </w:p>
    <w:p w:rsidR="00322E8C" w:rsidRPr="00FD2593" w:rsidRDefault="00322E8C" w:rsidP="00AF2ED1">
      <w:pPr>
        <w:pStyle w:val="Nadpis2"/>
        <w:numPr>
          <w:ilvl w:val="1"/>
          <w:numId w:val="6"/>
        </w:numPr>
        <w:pBdr>
          <w:bottom w:val="none" w:sz="0" w:space="0" w:color="auto"/>
        </w:pBdr>
        <w:rPr>
          <w:b/>
          <w:bCs w:val="0"/>
          <w:color w:val="404040" w:themeColor="text1" w:themeTint="BF"/>
          <w:sz w:val="22"/>
          <w:szCs w:val="22"/>
        </w:rPr>
      </w:pPr>
      <w:bookmarkStart w:id="55" w:name="_Toc34910901"/>
      <w:r w:rsidRPr="00AF2ED1">
        <w:rPr>
          <w:b/>
          <w:bCs w:val="0"/>
          <w:color w:val="404040" w:themeColor="text1" w:themeTint="BF"/>
          <w:sz w:val="22"/>
          <w:szCs w:val="22"/>
        </w:rPr>
        <w:t>Vybrané ukazatele finanční analýzy</w:t>
      </w:r>
      <w:bookmarkEnd w:id="55"/>
    </w:p>
    <w:p w:rsidR="007B4821" w:rsidRPr="00B055F4" w:rsidRDefault="00B055F4" w:rsidP="007B4821">
      <w:pPr>
        <w:rPr>
          <w:sz w:val="20"/>
          <w:szCs w:val="20"/>
        </w:rPr>
      </w:pPr>
      <w:r w:rsidRPr="00B055F4">
        <w:rPr>
          <w:sz w:val="20"/>
          <w:szCs w:val="20"/>
        </w:rPr>
        <w:t xml:space="preserve">Pro </w:t>
      </w:r>
      <w:r w:rsidR="00FD2593">
        <w:rPr>
          <w:sz w:val="20"/>
          <w:szCs w:val="20"/>
        </w:rPr>
        <w:t>srovnání</w:t>
      </w:r>
      <w:r w:rsidRPr="00B055F4">
        <w:rPr>
          <w:sz w:val="20"/>
          <w:szCs w:val="20"/>
        </w:rPr>
        <w:t xml:space="preserve"> vývoje a kval</w:t>
      </w:r>
      <w:r w:rsidR="007B4821">
        <w:rPr>
          <w:sz w:val="20"/>
          <w:szCs w:val="20"/>
        </w:rPr>
        <w:t>ity majetkového hospodaření municipalit</w:t>
      </w:r>
      <w:r w:rsidRPr="00B055F4">
        <w:rPr>
          <w:sz w:val="20"/>
          <w:szCs w:val="20"/>
        </w:rPr>
        <w:t xml:space="preserve"> není nutné pracovat s</w:t>
      </w:r>
      <w:r>
        <w:rPr>
          <w:sz w:val="20"/>
          <w:szCs w:val="20"/>
        </w:rPr>
        <w:t> </w:t>
      </w:r>
      <w:r w:rsidRPr="00B055F4">
        <w:rPr>
          <w:sz w:val="20"/>
          <w:szCs w:val="20"/>
        </w:rPr>
        <w:t>velkým</w:t>
      </w:r>
      <w:r>
        <w:rPr>
          <w:sz w:val="20"/>
          <w:szCs w:val="20"/>
        </w:rPr>
        <w:t xml:space="preserve"> </w:t>
      </w:r>
      <w:r w:rsidRPr="00B055F4">
        <w:rPr>
          <w:sz w:val="20"/>
          <w:szCs w:val="20"/>
        </w:rPr>
        <w:t>počtem ukazatelů, protože zde existuje značná míra korelace mezi většinou z</w:t>
      </w:r>
      <w:r w:rsidR="007A7AF5">
        <w:rPr>
          <w:sz w:val="20"/>
          <w:szCs w:val="20"/>
        </w:rPr>
        <w:t> </w:t>
      </w:r>
      <w:r w:rsidRPr="00B055F4">
        <w:rPr>
          <w:sz w:val="20"/>
          <w:szCs w:val="20"/>
        </w:rPr>
        <w:t>nich.</w:t>
      </w:r>
      <w:r w:rsidR="007B4821">
        <w:rPr>
          <w:sz w:val="20"/>
          <w:szCs w:val="20"/>
        </w:rPr>
        <w:t xml:space="preserve"> Z různých zdrojů lze doložit, že spolu významně</w:t>
      </w:r>
      <w:r w:rsidR="007B4821" w:rsidRPr="007B4821">
        <w:rPr>
          <w:sz w:val="20"/>
          <w:szCs w:val="20"/>
        </w:rPr>
        <w:t xml:space="preserve"> korelují nejen</w:t>
      </w:r>
      <w:r w:rsidR="007B4821">
        <w:rPr>
          <w:sz w:val="20"/>
          <w:szCs w:val="20"/>
        </w:rPr>
        <w:t xml:space="preserve"> téměř </w:t>
      </w:r>
      <w:r w:rsidR="007B4821" w:rsidRPr="007B4821">
        <w:rPr>
          <w:sz w:val="20"/>
          <w:szCs w:val="20"/>
        </w:rPr>
        <w:t>všechny ukazatele z rozvahy, ale i rozpočtové příjmy a výdaje spojené s</w:t>
      </w:r>
      <w:r w:rsidR="007B4821">
        <w:rPr>
          <w:sz w:val="20"/>
          <w:szCs w:val="20"/>
        </w:rPr>
        <w:t> </w:t>
      </w:r>
      <w:r w:rsidR="007B4821" w:rsidRPr="007B4821">
        <w:rPr>
          <w:sz w:val="20"/>
          <w:szCs w:val="20"/>
        </w:rPr>
        <w:t>majetkovým</w:t>
      </w:r>
      <w:r w:rsidR="007B4821">
        <w:rPr>
          <w:sz w:val="20"/>
          <w:szCs w:val="20"/>
        </w:rPr>
        <w:t xml:space="preserve"> </w:t>
      </w:r>
      <w:r w:rsidR="007B4821" w:rsidRPr="007B4821">
        <w:rPr>
          <w:sz w:val="20"/>
          <w:szCs w:val="20"/>
        </w:rPr>
        <w:t>hospodařením</w:t>
      </w:r>
      <w:r w:rsidR="007B4821">
        <w:rPr>
          <w:sz w:val="20"/>
          <w:szCs w:val="20"/>
        </w:rPr>
        <w:t xml:space="preserve"> (pokud je lze specifikovat – viz malá dostupnost podrobnějších dat, zde především vázaná na správu nemovitostí v rámci hospodářské činnosti, zřízené organizace či jiným subjektem)</w:t>
      </w:r>
      <w:r w:rsidR="007B4821" w:rsidRPr="007B4821">
        <w:rPr>
          <w:sz w:val="20"/>
          <w:szCs w:val="20"/>
        </w:rPr>
        <w:t>. Jediný</w:t>
      </w:r>
      <w:r w:rsidR="007B4821">
        <w:rPr>
          <w:sz w:val="20"/>
          <w:szCs w:val="20"/>
        </w:rPr>
        <w:t>mi nekorelujícími ukazateli jsou</w:t>
      </w:r>
      <w:r w:rsidR="007B4821" w:rsidRPr="007B4821">
        <w:rPr>
          <w:sz w:val="20"/>
          <w:szCs w:val="20"/>
        </w:rPr>
        <w:t xml:space="preserve"> příjmy z prodeje akcií a majetkových</w:t>
      </w:r>
      <w:r w:rsidR="007B4821">
        <w:rPr>
          <w:sz w:val="20"/>
          <w:szCs w:val="20"/>
        </w:rPr>
        <w:t xml:space="preserve"> </w:t>
      </w:r>
      <w:r w:rsidR="007B4821" w:rsidRPr="007B4821">
        <w:rPr>
          <w:sz w:val="20"/>
          <w:szCs w:val="20"/>
        </w:rPr>
        <w:t>podílů a oceňovací rozdíly, což jsou značně specifické oblasti</w:t>
      </w:r>
      <w:r w:rsidR="007B4821">
        <w:rPr>
          <w:sz w:val="20"/>
          <w:szCs w:val="20"/>
        </w:rPr>
        <w:t xml:space="preserve">, a proto je zde neuvádíme. K hodnocení majetkového </w:t>
      </w:r>
      <w:r w:rsidR="007B4821" w:rsidRPr="007B4821">
        <w:rPr>
          <w:sz w:val="20"/>
          <w:szCs w:val="20"/>
        </w:rPr>
        <w:t>hospodaření lze proto využít spíše relativních ukazatelů váza</w:t>
      </w:r>
      <w:r w:rsidR="007B4821">
        <w:rPr>
          <w:sz w:val="20"/>
          <w:szCs w:val="20"/>
        </w:rPr>
        <w:t xml:space="preserve">ných na několik málo základních </w:t>
      </w:r>
      <w:r w:rsidR="007B4821" w:rsidRPr="007B4821">
        <w:rPr>
          <w:sz w:val="20"/>
          <w:szCs w:val="20"/>
        </w:rPr>
        <w:t>hodnot z rozvahy.</w:t>
      </w:r>
    </w:p>
    <w:p w:rsidR="00B055F4" w:rsidRDefault="00B055F4" w:rsidP="00C22656">
      <w:pPr>
        <w:rPr>
          <w:sz w:val="20"/>
          <w:szCs w:val="20"/>
        </w:rPr>
      </w:pPr>
    </w:p>
    <w:p w:rsidR="00C22656" w:rsidRDefault="00C22656" w:rsidP="00C22656">
      <w:pPr>
        <w:rPr>
          <w:sz w:val="20"/>
          <w:szCs w:val="20"/>
        </w:rPr>
      </w:pPr>
      <w:r w:rsidRPr="00C22656">
        <w:rPr>
          <w:sz w:val="20"/>
          <w:szCs w:val="20"/>
        </w:rPr>
        <w:t xml:space="preserve">Pro hodnocení hospodaření </w:t>
      </w:r>
      <w:r>
        <w:rPr>
          <w:sz w:val="20"/>
          <w:szCs w:val="20"/>
        </w:rPr>
        <w:t xml:space="preserve">s majetkem </w:t>
      </w:r>
      <w:r w:rsidRPr="00C22656">
        <w:rPr>
          <w:sz w:val="20"/>
          <w:szCs w:val="20"/>
        </w:rPr>
        <w:t xml:space="preserve">jsou relevantní </w:t>
      </w:r>
      <w:r w:rsidR="007A7AF5">
        <w:rPr>
          <w:sz w:val="20"/>
          <w:szCs w:val="20"/>
        </w:rPr>
        <w:t xml:space="preserve">tyto </w:t>
      </w:r>
      <w:r w:rsidRPr="00C22656">
        <w:rPr>
          <w:sz w:val="20"/>
          <w:szCs w:val="20"/>
        </w:rPr>
        <w:t xml:space="preserve">následující </w:t>
      </w:r>
      <w:r>
        <w:rPr>
          <w:sz w:val="20"/>
          <w:szCs w:val="20"/>
        </w:rPr>
        <w:t>dílčí ukazatele z</w:t>
      </w:r>
      <w:r w:rsidR="007A7AF5">
        <w:rPr>
          <w:sz w:val="20"/>
          <w:szCs w:val="20"/>
        </w:rPr>
        <w:t> </w:t>
      </w:r>
      <w:r w:rsidRPr="00C22656">
        <w:rPr>
          <w:sz w:val="20"/>
          <w:szCs w:val="20"/>
        </w:rPr>
        <w:t>rozvahy:</w:t>
      </w:r>
    </w:p>
    <w:p w:rsidR="00C22656" w:rsidRDefault="00C22656" w:rsidP="00C22656">
      <w:pPr>
        <w:rPr>
          <w:sz w:val="20"/>
          <w:szCs w:val="20"/>
        </w:rPr>
      </w:pPr>
    </w:p>
    <w:p w:rsidR="00C22656" w:rsidRPr="00C22656" w:rsidRDefault="00C22656" w:rsidP="00C22656">
      <w:pPr>
        <w:rPr>
          <w:sz w:val="20"/>
          <w:szCs w:val="20"/>
        </w:rPr>
      </w:pPr>
      <w:r>
        <w:rPr>
          <w:sz w:val="20"/>
          <w:szCs w:val="20"/>
        </w:rPr>
        <w:t>Na straně aktiv:</w:t>
      </w:r>
    </w:p>
    <w:p w:rsidR="00C22656" w:rsidRPr="00C22656" w:rsidRDefault="00C22656" w:rsidP="00C22656">
      <w:pPr>
        <w:pStyle w:val="Odstavecseseznamem"/>
        <w:numPr>
          <w:ilvl w:val="0"/>
          <w:numId w:val="14"/>
        </w:numPr>
        <w:rPr>
          <w:sz w:val="20"/>
          <w:szCs w:val="20"/>
        </w:rPr>
      </w:pPr>
      <w:r>
        <w:rPr>
          <w:sz w:val="20"/>
          <w:szCs w:val="20"/>
        </w:rPr>
        <w:t>Celková aktiva</w:t>
      </w:r>
    </w:p>
    <w:p w:rsidR="00C22656" w:rsidRPr="00C22656" w:rsidRDefault="00C22656" w:rsidP="00C22656">
      <w:pPr>
        <w:pStyle w:val="Odstavecseseznamem"/>
        <w:numPr>
          <w:ilvl w:val="0"/>
          <w:numId w:val="14"/>
        </w:numPr>
        <w:rPr>
          <w:sz w:val="20"/>
          <w:szCs w:val="20"/>
        </w:rPr>
      </w:pPr>
      <w:r>
        <w:rPr>
          <w:sz w:val="20"/>
          <w:szCs w:val="20"/>
        </w:rPr>
        <w:t>Stálá aktiva</w:t>
      </w:r>
    </w:p>
    <w:p w:rsidR="00C22656" w:rsidRPr="00C22656" w:rsidRDefault="00C22656" w:rsidP="00C22656">
      <w:pPr>
        <w:pStyle w:val="Odstavecseseznamem"/>
        <w:numPr>
          <w:ilvl w:val="0"/>
          <w:numId w:val="14"/>
        </w:numPr>
        <w:rPr>
          <w:sz w:val="20"/>
          <w:szCs w:val="20"/>
        </w:rPr>
      </w:pPr>
      <w:r>
        <w:rPr>
          <w:sz w:val="20"/>
          <w:szCs w:val="20"/>
        </w:rPr>
        <w:t>Dlouhodobý nehmotný majetek</w:t>
      </w:r>
    </w:p>
    <w:p w:rsidR="00C22656" w:rsidRPr="00C22656" w:rsidRDefault="00C22656" w:rsidP="00C22656">
      <w:pPr>
        <w:pStyle w:val="Odstavecseseznamem"/>
        <w:numPr>
          <w:ilvl w:val="0"/>
          <w:numId w:val="14"/>
        </w:numPr>
        <w:rPr>
          <w:sz w:val="20"/>
          <w:szCs w:val="20"/>
        </w:rPr>
      </w:pPr>
      <w:r>
        <w:rPr>
          <w:sz w:val="20"/>
          <w:szCs w:val="20"/>
        </w:rPr>
        <w:t>Dlouhodobý hmotný majetek</w:t>
      </w:r>
    </w:p>
    <w:p w:rsidR="00C22656" w:rsidRPr="00C22656" w:rsidRDefault="00C22656" w:rsidP="00C22656">
      <w:pPr>
        <w:pStyle w:val="Odstavecseseznamem"/>
        <w:numPr>
          <w:ilvl w:val="0"/>
          <w:numId w:val="14"/>
        </w:numPr>
        <w:rPr>
          <w:sz w:val="20"/>
          <w:szCs w:val="20"/>
        </w:rPr>
      </w:pPr>
      <w:r w:rsidRPr="00C22656">
        <w:rPr>
          <w:sz w:val="20"/>
          <w:szCs w:val="20"/>
        </w:rPr>
        <w:t>Stavb</w:t>
      </w:r>
      <w:r>
        <w:rPr>
          <w:sz w:val="20"/>
          <w:szCs w:val="20"/>
        </w:rPr>
        <w:t>y</w:t>
      </w:r>
    </w:p>
    <w:p w:rsidR="00C22656" w:rsidRPr="00C22656" w:rsidRDefault="00C22656" w:rsidP="00C22656">
      <w:pPr>
        <w:pStyle w:val="Odstavecseseznamem"/>
        <w:numPr>
          <w:ilvl w:val="0"/>
          <w:numId w:val="14"/>
        </w:numPr>
        <w:rPr>
          <w:sz w:val="20"/>
          <w:szCs w:val="20"/>
        </w:rPr>
      </w:pPr>
      <w:r>
        <w:rPr>
          <w:sz w:val="20"/>
          <w:szCs w:val="20"/>
        </w:rPr>
        <w:t>Pozemky</w:t>
      </w:r>
    </w:p>
    <w:p w:rsidR="00C22656" w:rsidRPr="00C22656" w:rsidRDefault="00C22656" w:rsidP="00C22656">
      <w:pPr>
        <w:pStyle w:val="Odstavecseseznamem"/>
        <w:numPr>
          <w:ilvl w:val="0"/>
          <w:numId w:val="14"/>
        </w:numPr>
        <w:rPr>
          <w:sz w:val="20"/>
          <w:szCs w:val="20"/>
        </w:rPr>
      </w:pPr>
      <w:r>
        <w:rPr>
          <w:sz w:val="20"/>
          <w:szCs w:val="20"/>
        </w:rPr>
        <w:t>Dlouhodobý finanční majetek</w:t>
      </w:r>
    </w:p>
    <w:p w:rsidR="00C22656" w:rsidRPr="00C22656" w:rsidRDefault="00C22656" w:rsidP="00C22656">
      <w:pPr>
        <w:pStyle w:val="Odstavecseseznamem"/>
        <w:numPr>
          <w:ilvl w:val="0"/>
          <w:numId w:val="14"/>
        </w:numPr>
        <w:rPr>
          <w:sz w:val="20"/>
          <w:szCs w:val="20"/>
        </w:rPr>
      </w:pPr>
      <w:r w:rsidRPr="00C22656">
        <w:rPr>
          <w:sz w:val="20"/>
          <w:szCs w:val="20"/>
        </w:rPr>
        <w:t>Krátkod</w:t>
      </w:r>
      <w:r>
        <w:rPr>
          <w:sz w:val="20"/>
          <w:szCs w:val="20"/>
        </w:rPr>
        <w:t>obý majetek – Oběžná aktiva</w:t>
      </w:r>
    </w:p>
    <w:p w:rsidR="00C22656" w:rsidRPr="00C22656" w:rsidRDefault="00C22656" w:rsidP="00C22656">
      <w:pPr>
        <w:pStyle w:val="Odstavecseseznamem"/>
        <w:numPr>
          <w:ilvl w:val="0"/>
          <w:numId w:val="14"/>
        </w:numPr>
        <w:rPr>
          <w:sz w:val="20"/>
          <w:szCs w:val="20"/>
        </w:rPr>
      </w:pPr>
      <w:r>
        <w:rPr>
          <w:sz w:val="20"/>
          <w:szCs w:val="20"/>
        </w:rPr>
        <w:t>Nedokončený majetek (účet 042)</w:t>
      </w:r>
    </w:p>
    <w:p w:rsidR="00C22656" w:rsidRPr="00C22656" w:rsidRDefault="00C22656" w:rsidP="00C22656">
      <w:pPr>
        <w:pStyle w:val="Odstavecseseznamem"/>
        <w:numPr>
          <w:ilvl w:val="0"/>
          <w:numId w:val="14"/>
        </w:numPr>
        <w:rPr>
          <w:sz w:val="20"/>
          <w:szCs w:val="20"/>
        </w:rPr>
      </w:pPr>
      <w:r>
        <w:rPr>
          <w:sz w:val="20"/>
          <w:szCs w:val="20"/>
        </w:rPr>
        <w:t>Finanční majetek</w:t>
      </w:r>
    </w:p>
    <w:p w:rsidR="00C22656" w:rsidRPr="00C22656" w:rsidRDefault="00C22656" w:rsidP="00C22656">
      <w:pPr>
        <w:rPr>
          <w:sz w:val="20"/>
          <w:szCs w:val="20"/>
        </w:rPr>
      </w:pPr>
    </w:p>
    <w:p w:rsidR="00C22656" w:rsidRPr="00C22656" w:rsidRDefault="00C22656" w:rsidP="00C22656">
      <w:pPr>
        <w:rPr>
          <w:sz w:val="20"/>
          <w:szCs w:val="20"/>
        </w:rPr>
      </w:pPr>
      <w:r>
        <w:rPr>
          <w:sz w:val="20"/>
          <w:szCs w:val="20"/>
        </w:rPr>
        <w:t>Na straně pasi</w:t>
      </w:r>
      <w:r w:rsidRPr="00C22656">
        <w:rPr>
          <w:sz w:val="20"/>
          <w:szCs w:val="20"/>
        </w:rPr>
        <w:t>v</w:t>
      </w:r>
      <w:r>
        <w:rPr>
          <w:sz w:val="20"/>
          <w:szCs w:val="20"/>
        </w:rPr>
        <w:t>:</w:t>
      </w:r>
    </w:p>
    <w:p w:rsidR="00C22656" w:rsidRPr="00C22656" w:rsidRDefault="00C22656" w:rsidP="00C22656">
      <w:pPr>
        <w:pStyle w:val="Odstavecseseznamem"/>
        <w:numPr>
          <w:ilvl w:val="0"/>
          <w:numId w:val="14"/>
        </w:numPr>
        <w:rPr>
          <w:sz w:val="20"/>
          <w:szCs w:val="20"/>
        </w:rPr>
      </w:pPr>
      <w:r>
        <w:rPr>
          <w:sz w:val="20"/>
          <w:szCs w:val="20"/>
        </w:rPr>
        <w:t>Vlastní kapitál</w:t>
      </w:r>
    </w:p>
    <w:p w:rsidR="00C22656" w:rsidRPr="00C22656" w:rsidRDefault="00C22656" w:rsidP="00C22656">
      <w:pPr>
        <w:pStyle w:val="Odstavecseseznamem"/>
        <w:numPr>
          <w:ilvl w:val="0"/>
          <w:numId w:val="14"/>
        </w:numPr>
        <w:rPr>
          <w:sz w:val="20"/>
          <w:szCs w:val="20"/>
        </w:rPr>
      </w:pPr>
      <w:r>
        <w:rPr>
          <w:sz w:val="20"/>
          <w:szCs w:val="20"/>
        </w:rPr>
        <w:t>Fondy</w:t>
      </w:r>
    </w:p>
    <w:p w:rsidR="00C22656" w:rsidRPr="00C22656" w:rsidRDefault="00C22656" w:rsidP="00C22656">
      <w:pPr>
        <w:pStyle w:val="Odstavecseseznamem"/>
        <w:numPr>
          <w:ilvl w:val="0"/>
          <w:numId w:val="14"/>
        </w:numPr>
        <w:rPr>
          <w:sz w:val="20"/>
          <w:szCs w:val="20"/>
        </w:rPr>
      </w:pPr>
      <w:r>
        <w:rPr>
          <w:sz w:val="20"/>
          <w:szCs w:val="20"/>
        </w:rPr>
        <w:t>Cizí zdroje</w:t>
      </w:r>
    </w:p>
    <w:p w:rsidR="00357991" w:rsidRDefault="00C22656" w:rsidP="00C22656">
      <w:pPr>
        <w:pStyle w:val="Odstavecseseznamem"/>
        <w:numPr>
          <w:ilvl w:val="0"/>
          <w:numId w:val="14"/>
        </w:numPr>
        <w:rPr>
          <w:sz w:val="20"/>
          <w:szCs w:val="20"/>
        </w:rPr>
      </w:pPr>
      <w:r>
        <w:rPr>
          <w:sz w:val="20"/>
          <w:szCs w:val="20"/>
        </w:rPr>
        <w:t>Bankovní úvěry a půjčky (celková dluhová služba)</w:t>
      </w:r>
    </w:p>
    <w:p w:rsidR="00357991" w:rsidRDefault="00357991" w:rsidP="00961DB1">
      <w:pPr>
        <w:rPr>
          <w:sz w:val="20"/>
          <w:szCs w:val="20"/>
        </w:rPr>
      </w:pPr>
    </w:p>
    <w:p w:rsidR="00357991" w:rsidRDefault="00225811" w:rsidP="00961DB1">
      <w:pPr>
        <w:rPr>
          <w:sz w:val="20"/>
          <w:szCs w:val="20"/>
        </w:rPr>
      </w:pPr>
      <w:r>
        <w:rPr>
          <w:sz w:val="20"/>
          <w:szCs w:val="20"/>
        </w:rPr>
        <w:t>Z těchto dílčích</w:t>
      </w:r>
      <w:r w:rsidRPr="00225811">
        <w:rPr>
          <w:sz w:val="20"/>
          <w:szCs w:val="20"/>
        </w:rPr>
        <w:t xml:space="preserve"> ukazatelů </w:t>
      </w:r>
      <w:r>
        <w:rPr>
          <w:sz w:val="20"/>
          <w:szCs w:val="20"/>
        </w:rPr>
        <w:t xml:space="preserve">obsažených v rozvaze vycházejí ukazatele </w:t>
      </w:r>
      <w:r w:rsidRPr="00225811">
        <w:rPr>
          <w:sz w:val="20"/>
          <w:szCs w:val="20"/>
        </w:rPr>
        <w:t>hodno</w:t>
      </w:r>
      <w:r>
        <w:rPr>
          <w:sz w:val="20"/>
          <w:szCs w:val="20"/>
        </w:rPr>
        <w:t>tící majetkové</w:t>
      </w:r>
      <w:r w:rsidRPr="00225811">
        <w:rPr>
          <w:sz w:val="20"/>
          <w:szCs w:val="20"/>
        </w:rPr>
        <w:t xml:space="preserve"> hospodaření</w:t>
      </w:r>
      <w:r>
        <w:rPr>
          <w:sz w:val="20"/>
          <w:szCs w:val="20"/>
        </w:rPr>
        <w:t>. Všechny ukazatele jsou vyčísleny a hodnoceny za období posledních pěti let.</w:t>
      </w:r>
    </w:p>
    <w:p w:rsidR="00225811" w:rsidRDefault="00225811" w:rsidP="00961DB1">
      <w:pPr>
        <w:rPr>
          <w:sz w:val="20"/>
          <w:szCs w:val="20"/>
        </w:rPr>
      </w:pPr>
      <w:r>
        <w:rPr>
          <w:sz w:val="20"/>
          <w:szCs w:val="20"/>
        </w:rPr>
        <w:t>První skupinou, kterou zde uvedeme, jsou „</w:t>
      </w:r>
      <w:r w:rsidRPr="00225811">
        <w:rPr>
          <w:sz w:val="20"/>
          <w:szCs w:val="20"/>
        </w:rPr>
        <w:t>Ukazatele velikosti majetku</w:t>
      </w:r>
      <w:r>
        <w:rPr>
          <w:sz w:val="20"/>
          <w:szCs w:val="20"/>
        </w:rPr>
        <w:t>“</w:t>
      </w:r>
      <w:r w:rsidRPr="00225811">
        <w:rPr>
          <w:sz w:val="20"/>
          <w:szCs w:val="20"/>
        </w:rPr>
        <w:t xml:space="preserve"> (absolutní i</w:t>
      </w:r>
      <w:r w:rsidR="007A7AF5">
        <w:rPr>
          <w:sz w:val="20"/>
          <w:szCs w:val="20"/>
        </w:rPr>
        <w:t> </w:t>
      </w:r>
      <w:r w:rsidRPr="00225811">
        <w:rPr>
          <w:sz w:val="20"/>
          <w:szCs w:val="20"/>
        </w:rPr>
        <w:t>relativní)</w:t>
      </w:r>
      <w:r>
        <w:rPr>
          <w:sz w:val="20"/>
          <w:szCs w:val="20"/>
        </w:rPr>
        <w:t xml:space="preserve"> – viz následující tabulka.</w:t>
      </w:r>
    </w:p>
    <w:p w:rsidR="00225811" w:rsidRDefault="00225811" w:rsidP="00961DB1">
      <w:pPr>
        <w:rPr>
          <w:sz w:val="20"/>
          <w:szCs w:val="20"/>
        </w:rPr>
      </w:pPr>
    </w:p>
    <w:p w:rsidR="00225811" w:rsidRPr="00B93152" w:rsidRDefault="00225811" w:rsidP="00225811">
      <w:pPr>
        <w:pStyle w:val="tabulka"/>
        <w:numPr>
          <w:ilvl w:val="0"/>
          <w:numId w:val="32"/>
        </w:numPr>
        <w:tabs>
          <w:tab w:val="clear" w:pos="1418"/>
        </w:tabs>
        <w:spacing w:before="120" w:after="120"/>
        <w:ind w:left="1701" w:hanging="1701"/>
        <w:rPr>
          <w:sz w:val="20"/>
          <w:szCs w:val="20"/>
        </w:rPr>
      </w:pPr>
      <w:bookmarkStart w:id="56" w:name="_Toc25758083"/>
      <w:r w:rsidRPr="00B93152">
        <w:rPr>
          <w:sz w:val="20"/>
          <w:szCs w:val="20"/>
        </w:rPr>
        <w:lastRenderedPageBreak/>
        <w:t>Ukazatele velikosti majetku</w:t>
      </w:r>
      <w:r w:rsidR="008004CA" w:rsidRPr="00B93152">
        <w:rPr>
          <w:sz w:val="20"/>
          <w:szCs w:val="20"/>
        </w:rPr>
        <w:t xml:space="preserve"> – absolutní hodnoty</w:t>
      </w:r>
      <w:r w:rsidRPr="00B93152">
        <w:rPr>
          <w:sz w:val="20"/>
          <w:szCs w:val="20"/>
        </w:rPr>
        <w:t xml:space="preserve"> (v </w:t>
      </w:r>
      <w:r w:rsidR="00471EFF" w:rsidRPr="00B93152">
        <w:rPr>
          <w:sz w:val="20"/>
          <w:szCs w:val="20"/>
        </w:rPr>
        <w:t>tis.</w:t>
      </w:r>
      <w:r w:rsidR="008004CA" w:rsidRPr="00B93152">
        <w:rPr>
          <w:sz w:val="20"/>
          <w:szCs w:val="20"/>
        </w:rPr>
        <w:t xml:space="preserve"> </w:t>
      </w:r>
      <w:r w:rsidRPr="00B93152">
        <w:rPr>
          <w:sz w:val="20"/>
          <w:szCs w:val="20"/>
        </w:rPr>
        <w:t>Kč)</w:t>
      </w:r>
      <w:bookmarkEnd w:id="56"/>
    </w:p>
    <w:tbl>
      <w:tblPr>
        <w:tblW w:w="5000" w:type="pct"/>
        <w:tblCellMar>
          <w:left w:w="70" w:type="dxa"/>
          <w:right w:w="70" w:type="dxa"/>
        </w:tblCellMar>
        <w:tblLook w:val="04A0" w:firstRow="1" w:lastRow="0" w:firstColumn="1" w:lastColumn="0" w:noHBand="0" w:noVBand="1"/>
      </w:tblPr>
      <w:tblGrid>
        <w:gridCol w:w="3130"/>
        <w:gridCol w:w="1218"/>
        <w:gridCol w:w="1216"/>
        <w:gridCol w:w="1216"/>
        <w:gridCol w:w="1216"/>
        <w:gridCol w:w="1216"/>
      </w:tblGrid>
      <w:tr w:rsidR="00471EFF" w:rsidRPr="00471EFF" w:rsidTr="002E392A">
        <w:trPr>
          <w:trHeight w:val="288"/>
        </w:trPr>
        <w:tc>
          <w:tcPr>
            <w:tcW w:w="1699"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left"/>
              <w:rPr>
                <w:rFonts w:eastAsia="Times New Roman"/>
                <w:b/>
                <w:color w:val="000000"/>
                <w:sz w:val="18"/>
                <w:szCs w:val="18"/>
              </w:rPr>
            </w:pPr>
            <w:r w:rsidRPr="00471EFF">
              <w:rPr>
                <w:rFonts w:eastAsia="Times New Roman"/>
                <w:b/>
                <w:color w:val="000000"/>
                <w:sz w:val="18"/>
                <w:szCs w:val="18"/>
              </w:rPr>
              <w:t>Název ukazatele</w:t>
            </w:r>
          </w:p>
        </w:tc>
        <w:tc>
          <w:tcPr>
            <w:tcW w:w="661"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2014</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2015</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2016</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2017</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2018</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celkový objem majetku</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800 344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827 308</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875 704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929 193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986 967</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dlouhodobý nehmotný majetek</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4 464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4 659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3 958</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3 666</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5 140</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dlouhodobý hmotný majetek</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672 850</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671 897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676 145</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737 359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825 755</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objem staveb</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611 283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611 249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591 347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682 443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708 434</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objem pozemků</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32 203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32 427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34 169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35 261</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47 872</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dlouhodobý finanční majetek</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51 604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64 479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64 387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64 387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64 387</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oběžná aktiva</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71 360</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86 211</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131 150</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123 718</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91 685</w:t>
            </w:r>
          </w:p>
        </w:tc>
      </w:tr>
    </w:tbl>
    <w:p w:rsidR="00472D33" w:rsidRDefault="00472D33" w:rsidP="00472D33"/>
    <w:p w:rsidR="00B055F4" w:rsidRDefault="00B055F4" w:rsidP="00472D33">
      <w:r w:rsidRPr="00B055F4">
        <w:t>U každého z ukazatelů byl proveden přepočet na počet obyvatel a sestavena tabulka pro</w:t>
      </w:r>
      <w:r>
        <w:t xml:space="preserve"> </w:t>
      </w:r>
      <w:r w:rsidRPr="00B055F4">
        <w:t>komparaci dynamiky změn mezi jednotlivými roky ve sledovaném období</w:t>
      </w:r>
      <w:r>
        <w:t xml:space="preserve"> (viz následující tabulka)</w:t>
      </w:r>
      <w:r w:rsidRPr="00B055F4">
        <w:t>. Byla rovněž</w:t>
      </w:r>
      <w:r>
        <w:t xml:space="preserve"> </w:t>
      </w:r>
      <w:r w:rsidRPr="00B055F4">
        <w:t>posouzena struktura hlavních skupin aktiv a pasiv.</w:t>
      </w:r>
    </w:p>
    <w:p w:rsidR="00472D33" w:rsidRPr="00B055F4" w:rsidRDefault="00472D33" w:rsidP="00472D33"/>
    <w:p w:rsidR="008004CA" w:rsidRDefault="008004CA" w:rsidP="008004CA">
      <w:pPr>
        <w:pStyle w:val="tabulka"/>
        <w:numPr>
          <w:ilvl w:val="0"/>
          <w:numId w:val="32"/>
        </w:numPr>
        <w:tabs>
          <w:tab w:val="clear" w:pos="1418"/>
        </w:tabs>
        <w:spacing w:before="120" w:after="120"/>
        <w:ind w:left="1701" w:hanging="1701"/>
        <w:rPr>
          <w:sz w:val="20"/>
          <w:szCs w:val="20"/>
        </w:rPr>
      </w:pPr>
      <w:bookmarkStart w:id="57" w:name="_Toc25758084"/>
      <w:r>
        <w:rPr>
          <w:sz w:val="20"/>
          <w:szCs w:val="20"/>
        </w:rPr>
        <w:t>Ukazatele velikosti majetku vztažené na 1 obyvatele (v Kč)</w:t>
      </w:r>
      <w:bookmarkEnd w:id="57"/>
    </w:p>
    <w:tbl>
      <w:tblPr>
        <w:tblW w:w="5000" w:type="pct"/>
        <w:tblCellMar>
          <w:left w:w="70" w:type="dxa"/>
          <w:right w:w="70" w:type="dxa"/>
        </w:tblCellMar>
        <w:tblLook w:val="04A0" w:firstRow="1" w:lastRow="0" w:firstColumn="1" w:lastColumn="0" w:noHBand="0" w:noVBand="1"/>
      </w:tblPr>
      <w:tblGrid>
        <w:gridCol w:w="4191"/>
        <w:gridCol w:w="1005"/>
        <w:gridCol w:w="1004"/>
        <w:gridCol w:w="1004"/>
        <w:gridCol w:w="1004"/>
        <w:gridCol w:w="1004"/>
      </w:tblGrid>
      <w:tr w:rsidR="008004CA" w:rsidRPr="008004CA" w:rsidTr="002E392A">
        <w:trPr>
          <w:trHeight w:val="288"/>
        </w:trPr>
        <w:tc>
          <w:tcPr>
            <w:tcW w:w="2274"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left"/>
              <w:rPr>
                <w:rFonts w:eastAsia="Times New Roman"/>
                <w:b/>
                <w:color w:val="000000"/>
                <w:sz w:val="18"/>
                <w:szCs w:val="18"/>
              </w:rPr>
            </w:pPr>
            <w:r w:rsidRPr="00471EFF">
              <w:rPr>
                <w:rFonts w:eastAsia="Times New Roman"/>
                <w:b/>
                <w:color w:val="000000"/>
                <w:sz w:val="18"/>
                <w:szCs w:val="18"/>
              </w:rPr>
              <w:t>Název ukazatele</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2014</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2015</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2016</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2017</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2018</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celkový objem majetku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123 969</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126 037</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132 743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139 791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147 441</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dlouhodobý nehmotný majetek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691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710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600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552</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768</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dlouhodobý hmotný majetek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104 221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102 361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102 493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110 931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123 357</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objem staveb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94 684</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93 121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89 639</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102 669</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105 831</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objem pozemků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4 988</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4 940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5 180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5 305</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7 152</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dlouhodobý finanční majetek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7 993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9 823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9 760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9 687</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9 619</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oběžná aktiva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11 053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13 134</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19 880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18 613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13 697</w:t>
            </w:r>
          </w:p>
        </w:tc>
      </w:tr>
    </w:tbl>
    <w:p w:rsidR="00225811" w:rsidRDefault="00225811" w:rsidP="00961DB1">
      <w:pPr>
        <w:rPr>
          <w:sz w:val="20"/>
          <w:szCs w:val="20"/>
        </w:rPr>
      </w:pPr>
    </w:p>
    <w:p w:rsidR="00B055F4" w:rsidRDefault="00962026" w:rsidP="00961DB1">
      <w:pPr>
        <w:rPr>
          <w:sz w:val="20"/>
          <w:szCs w:val="20"/>
        </w:rPr>
      </w:pPr>
      <w:r>
        <w:rPr>
          <w:sz w:val="20"/>
          <w:szCs w:val="20"/>
        </w:rPr>
        <w:t>Srovnání s tím, co lze z veřejně dostupných dat získat, se město pohybuje kolem celostátního průměru</w:t>
      </w:r>
      <w:r w:rsidR="002A45C5">
        <w:rPr>
          <w:sz w:val="20"/>
          <w:szCs w:val="20"/>
        </w:rPr>
        <w:t xml:space="preserve"> ve všech zde uvedených ukazatelích.</w:t>
      </w:r>
      <w:r>
        <w:rPr>
          <w:sz w:val="20"/>
          <w:szCs w:val="20"/>
        </w:rPr>
        <w:t xml:space="preserve"> </w:t>
      </w:r>
      <w:r w:rsidR="002A45C5">
        <w:rPr>
          <w:sz w:val="20"/>
          <w:szCs w:val="20"/>
        </w:rPr>
        <w:t>Všechny ukazatele s výjimkou posledního, mají rostoucí trend, což je dáno investiční aktivitou města. Posledním ukazatelem jsou oběžná aktiva na obyvatele, která ve sledovaném období opisují horní amplitudu sinusoidy. Tento ukazatel je obecně nejhůře vyhodnotitelný, jeho sinusový průběh je typický pro každý subjekt vykazující nějakou ekonomickou aktivitu – jedná se totiž především o okamžitý stav peněžních účtů, který se mění denně a kolísá oběma směry. Patří sem též pohledávky, ale ty u municipalit obvykle nehrají podstatnou roli</w:t>
      </w:r>
      <w:r w:rsidR="00544F1D">
        <w:rPr>
          <w:sz w:val="20"/>
          <w:szCs w:val="20"/>
        </w:rPr>
        <w:t xml:space="preserve"> co do celkového objemu oběžných aktiv</w:t>
      </w:r>
      <w:r w:rsidR="002A45C5">
        <w:rPr>
          <w:sz w:val="20"/>
          <w:szCs w:val="20"/>
        </w:rPr>
        <w:t>.</w:t>
      </w:r>
    </w:p>
    <w:p w:rsidR="00B055F4" w:rsidRDefault="00B055F4" w:rsidP="00961DB1">
      <w:pPr>
        <w:rPr>
          <w:sz w:val="20"/>
          <w:szCs w:val="20"/>
        </w:rPr>
      </w:pPr>
    </w:p>
    <w:p w:rsidR="00225811" w:rsidRDefault="00225811" w:rsidP="00961DB1">
      <w:pPr>
        <w:rPr>
          <w:sz w:val="20"/>
          <w:szCs w:val="20"/>
        </w:rPr>
      </w:pPr>
      <w:r>
        <w:rPr>
          <w:sz w:val="20"/>
          <w:szCs w:val="20"/>
        </w:rPr>
        <w:t>Druhou skupinu tvoří „</w:t>
      </w:r>
      <w:r w:rsidRPr="00225811">
        <w:rPr>
          <w:sz w:val="20"/>
          <w:szCs w:val="20"/>
        </w:rPr>
        <w:t>Ukazatele struktury majetku</w:t>
      </w:r>
      <w:r w:rsidR="00D53CD2">
        <w:rPr>
          <w:sz w:val="20"/>
          <w:szCs w:val="20"/>
        </w:rPr>
        <w:t>“ (jedná se o ukazatele relativní neboli</w:t>
      </w:r>
      <w:r w:rsidRPr="00225811">
        <w:rPr>
          <w:sz w:val="20"/>
          <w:szCs w:val="20"/>
        </w:rPr>
        <w:t xml:space="preserve"> podílové)</w:t>
      </w:r>
    </w:p>
    <w:p w:rsidR="00225811" w:rsidRDefault="00225811" w:rsidP="00961DB1">
      <w:pPr>
        <w:rPr>
          <w:sz w:val="20"/>
          <w:szCs w:val="20"/>
        </w:rPr>
      </w:pPr>
    </w:p>
    <w:p w:rsidR="00D53CD2" w:rsidRDefault="00D53CD2" w:rsidP="00D53CD2">
      <w:pPr>
        <w:pStyle w:val="tabulka"/>
        <w:numPr>
          <w:ilvl w:val="0"/>
          <w:numId w:val="32"/>
        </w:numPr>
        <w:tabs>
          <w:tab w:val="clear" w:pos="1418"/>
        </w:tabs>
        <w:spacing w:before="120" w:after="120"/>
        <w:ind w:left="1701" w:hanging="1701"/>
        <w:rPr>
          <w:sz w:val="20"/>
          <w:szCs w:val="20"/>
        </w:rPr>
      </w:pPr>
      <w:bookmarkStart w:id="58" w:name="_Toc25758085"/>
      <w:r>
        <w:rPr>
          <w:sz w:val="20"/>
          <w:szCs w:val="20"/>
        </w:rPr>
        <w:t xml:space="preserve">Ukazatele struktury majetku </w:t>
      </w:r>
      <w:r w:rsidR="000846E4">
        <w:rPr>
          <w:sz w:val="20"/>
          <w:szCs w:val="20"/>
        </w:rPr>
        <w:t>– podíl na aktivech</w:t>
      </w:r>
      <w:bookmarkEnd w:id="58"/>
    </w:p>
    <w:tbl>
      <w:tblPr>
        <w:tblW w:w="5000" w:type="pct"/>
        <w:tblCellMar>
          <w:left w:w="70" w:type="dxa"/>
          <w:right w:w="70" w:type="dxa"/>
        </w:tblCellMar>
        <w:tblLook w:val="04A0" w:firstRow="1" w:lastRow="0" w:firstColumn="1" w:lastColumn="0" w:noHBand="0" w:noVBand="1"/>
      </w:tblPr>
      <w:tblGrid>
        <w:gridCol w:w="3952"/>
        <w:gridCol w:w="1052"/>
        <w:gridCol w:w="1052"/>
        <w:gridCol w:w="1052"/>
        <w:gridCol w:w="1052"/>
        <w:gridCol w:w="1052"/>
      </w:tblGrid>
      <w:tr w:rsidR="00D53CD2" w:rsidRPr="000846E4" w:rsidTr="002E392A">
        <w:trPr>
          <w:trHeight w:val="288"/>
        </w:trPr>
        <w:tc>
          <w:tcPr>
            <w:tcW w:w="2145"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left"/>
              <w:rPr>
                <w:rFonts w:eastAsia="Times New Roman" w:cs="Calibri"/>
                <w:b/>
                <w:color w:val="000000"/>
                <w:sz w:val="18"/>
                <w:szCs w:val="18"/>
              </w:rPr>
            </w:pPr>
            <w:r w:rsidRPr="000846E4">
              <w:rPr>
                <w:rFonts w:eastAsia="Times New Roman" w:cs="Calibri"/>
                <w:b/>
                <w:color w:val="000000"/>
                <w:sz w:val="18"/>
                <w:szCs w:val="18"/>
              </w:rPr>
              <w:t>Název ukazatele</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0846E4" w:rsidP="000846E4">
            <w:pPr>
              <w:spacing w:line="240" w:lineRule="auto"/>
              <w:jc w:val="center"/>
              <w:rPr>
                <w:rFonts w:eastAsia="Times New Roman" w:cs="Calibri"/>
                <w:b/>
                <w:color w:val="000000"/>
                <w:sz w:val="18"/>
                <w:szCs w:val="18"/>
              </w:rPr>
            </w:pPr>
            <w:r>
              <w:rPr>
                <w:rFonts w:eastAsia="Times New Roman" w:cs="Calibri"/>
                <w:b/>
                <w:color w:val="000000"/>
                <w:sz w:val="18"/>
                <w:szCs w:val="18"/>
              </w:rPr>
              <w:t>2</w:t>
            </w:r>
            <w:r w:rsidR="00D53CD2" w:rsidRPr="000846E4">
              <w:rPr>
                <w:rFonts w:eastAsia="Times New Roman" w:cs="Calibri"/>
                <w:b/>
                <w:color w:val="000000"/>
                <w:sz w:val="18"/>
                <w:szCs w:val="18"/>
              </w:rPr>
              <w:t>014</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0846E4" w:rsidP="000846E4">
            <w:pPr>
              <w:spacing w:line="240" w:lineRule="auto"/>
              <w:jc w:val="center"/>
              <w:rPr>
                <w:rFonts w:eastAsia="Times New Roman" w:cs="Calibri"/>
                <w:b/>
                <w:color w:val="000000"/>
                <w:sz w:val="18"/>
                <w:szCs w:val="18"/>
              </w:rPr>
            </w:pPr>
            <w:r>
              <w:rPr>
                <w:rFonts w:eastAsia="Times New Roman" w:cs="Calibri"/>
                <w:b/>
                <w:color w:val="000000"/>
                <w:sz w:val="18"/>
                <w:szCs w:val="18"/>
              </w:rPr>
              <w:t>2</w:t>
            </w:r>
            <w:r w:rsidR="00D53CD2" w:rsidRPr="000846E4">
              <w:rPr>
                <w:rFonts w:eastAsia="Times New Roman" w:cs="Calibri"/>
                <w:b/>
                <w:color w:val="000000"/>
                <w:sz w:val="18"/>
                <w:szCs w:val="18"/>
              </w:rPr>
              <w:t>015</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center"/>
              <w:rPr>
                <w:rFonts w:eastAsia="Times New Roman" w:cs="Calibri"/>
                <w:b/>
                <w:color w:val="000000"/>
                <w:sz w:val="18"/>
                <w:szCs w:val="18"/>
              </w:rPr>
            </w:pPr>
            <w:r w:rsidRPr="000846E4">
              <w:rPr>
                <w:rFonts w:eastAsia="Times New Roman" w:cs="Calibri"/>
                <w:b/>
                <w:color w:val="000000"/>
                <w:sz w:val="18"/>
                <w:szCs w:val="18"/>
              </w:rPr>
              <w:t>2016</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center"/>
              <w:rPr>
                <w:rFonts w:eastAsia="Times New Roman" w:cs="Calibri"/>
                <w:b/>
                <w:color w:val="000000"/>
                <w:sz w:val="18"/>
                <w:szCs w:val="18"/>
              </w:rPr>
            </w:pPr>
            <w:r w:rsidRPr="000846E4">
              <w:rPr>
                <w:rFonts w:eastAsia="Times New Roman" w:cs="Calibri"/>
                <w:b/>
                <w:color w:val="000000"/>
                <w:sz w:val="18"/>
                <w:szCs w:val="18"/>
              </w:rPr>
              <w:t>2017</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center"/>
              <w:rPr>
                <w:rFonts w:eastAsia="Times New Roman" w:cs="Calibri"/>
                <w:b/>
                <w:color w:val="000000"/>
                <w:sz w:val="18"/>
                <w:szCs w:val="18"/>
              </w:rPr>
            </w:pPr>
            <w:r w:rsidRPr="000846E4">
              <w:rPr>
                <w:rFonts w:eastAsia="Times New Roman" w:cs="Calibri"/>
                <w:b/>
                <w:color w:val="000000"/>
                <w:sz w:val="18"/>
                <w:szCs w:val="18"/>
              </w:rPr>
              <w:t>2018</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stál</w:t>
            </w:r>
            <w:r w:rsidR="000846E4">
              <w:rPr>
                <w:rFonts w:eastAsia="Times New Roman" w:cs="Calibri"/>
                <w:color w:val="000000"/>
                <w:sz w:val="18"/>
                <w:szCs w:val="18"/>
              </w:rPr>
              <w:t>á</w:t>
            </w:r>
            <w:r w:rsidRPr="000846E4">
              <w:rPr>
                <w:rFonts w:eastAsia="Times New Roman" w:cs="Calibri"/>
                <w:color w:val="000000"/>
                <w:sz w:val="18"/>
                <w:szCs w:val="18"/>
              </w:rPr>
              <w:t xml:space="preserve"> aktiv</w:t>
            </w:r>
            <w:r w:rsidR="000846E4">
              <w:rPr>
                <w:rFonts w:eastAsia="Times New Roman" w:cs="Calibri"/>
                <w:color w:val="000000"/>
                <w:sz w:val="18"/>
                <w:szCs w:val="18"/>
              </w:rPr>
              <w:t>a</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91,08%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89,58%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85,02%</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86,69%</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90,71%</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dlouhodob</w:t>
            </w:r>
            <w:r w:rsidR="000846E4">
              <w:rPr>
                <w:rFonts w:eastAsia="Times New Roman" w:cs="Calibri"/>
                <w:color w:val="000000"/>
                <w:sz w:val="18"/>
                <w:szCs w:val="18"/>
              </w:rPr>
              <w:t>ý</w:t>
            </w:r>
            <w:r w:rsidRPr="000846E4">
              <w:rPr>
                <w:rFonts w:eastAsia="Times New Roman" w:cs="Calibri"/>
                <w:color w:val="000000"/>
                <w:sz w:val="18"/>
                <w:szCs w:val="18"/>
              </w:rPr>
              <w:t xml:space="preserve"> nehmotn</w:t>
            </w:r>
            <w:r w:rsidR="000846E4">
              <w:rPr>
                <w:rFonts w:eastAsia="Times New Roman" w:cs="Calibri"/>
                <w:color w:val="000000"/>
                <w:sz w:val="18"/>
                <w:szCs w:val="18"/>
              </w:rPr>
              <w:t>ý</w:t>
            </w:r>
            <w:r w:rsidRPr="000846E4">
              <w:rPr>
                <w:rFonts w:eastAsia="Times New Roman" w:cs="Calibri"/>
                <w:color w:val="000000"/>
                <w:sz w:val="18"/>
                <w:szCs w:val="18"/>
              </w:rPr>
              <w:t xml:space="preserve"> majet</w:t>
            </w:r>
            <w:r w:rsidR="000846E4">
              <w:rPr>
                <w:rFonts w:eastAsia="Times New Roman" w:cs="Calibri"/>
                <w:color w:val="000000"/>
                <w:sz w:val="18"/>
                <w:szCs w:val="18"/>
              </w:rPr>
              <w:t>ek</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0,56%</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0,56%</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0,45%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0,39%</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0,52%</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0846E4" w:rsidP="000846E4">
            <w:pPr>
              <w:spacing w:line="240" w:lineRule="auto"/>
              <w:rPr>
                <w:rFonts w:eastAsia="Times New Roman" w:cs="Calibri"/>
                <w:color w:val="000000"/>
                <w:sz w:val="18"/>
                <w:szCs w:val="18"/>
              </w:rPr>
            </w:pPr>
            <w:r w:rsidRPr="000846E4">
              <w:rPr>
                <w:rFonts w:eastAsia="Times New Roman" w:cs="Calibri"/>
                <w:color w:val="000000"/>
                <w:sz w:val="18"/>
                <w:szCs w:val="18"/>
              </w:rPr>
              <w:t>dlouhodob</w:t>
            </w:r>
            <w:r>
              <w:rPr>
                <w:rFonts w:eastAsia="Times New Roman" w:cs="Calibri"/>
                <w:color w:val="000000"/>
                <w:sz w:val="18"/>
                <w:szCs w:val="18"/>
              </w:rPr>
              <w:t>ý</w:t>
            </w:r>
            <w:r w:rsidRPr="000846E4">
              <w:rPr>
                <w:rFonts w:eastAsia="Times New Roman" w:cs="Calibri"/>
                <w:color w:val="000000"/>
                <w:sz w:val="18"/>
                <w:szCs w:val="18"/>
              </w:rPr>
              <w:t xml:space="preserve"> hmotn</w:t>
            </w:r>
            <w:r>
              <w:rPr>
                <w:rFonts w:eastAsia="Times New Roman" w:cs="Calibri"/>
                <w:color w:val="000000"/>
                <w:sz w:val="18"/>
                <w:szCs w:val="18"/>
              </w:rPr>
              <w:t>ý</w:t>
            </w:r>
            <w:r w:rsidRPr="000846E4">
              <w:rPr>
                <w:rFonts w:eastAsia="Times New Roman" w:cs="Calibri"/>
                <w:color w:val="000000"/>
                <w:sz w:val="18"/>
                <w:szCs w:val="18"/>
              </w:rPr>
              <w:t xml:space="preserve"> majet</w:t>
            </w:r>
            <w:r>
              <w:rPr>
                <w:rFonts w:eastAsia="Times New Roman" w:cs="Calibri"/>
                <w:color w:val="000000"/>
                <w:sz w:val="18"/>
                <w:szCs w:val="18"/>
              </w:rPr>
              <w:t>ek</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84,07%</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81,21%</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77,21%</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79,35%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83,67%</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stav</w:t>
            </w:r>
            <w:r w:rsidR="000846E4">
              <w:rPr>
                <w:rFonts w:eastAsia="Times New Roman" w:cs="Calibri"/>
                <w:color w:val="000000"/>
                <w:sz w:val="18"/>
                <w:szCs w:val="18"/>
              </w:rPr>
              <w:t>by</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76,38%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73,88%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67,53%</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73,44%</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71,78%</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pozemk</w:t>
            </w:r>
            <w:r w:rsidR="000846E4">
              <w:rPr>
                <w:rFonts w:eastAsia="Times New Roman" w:cs="Calibri"/>
                <w:color w:val="000000"/>
                <w:sz w:val="18"/>
                <w:szCs w:val="18"/>
              </w:rPr>
              <w:t>y</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5,27%</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5,31%</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5,78%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5,17%</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6,76%</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dlouhodob</w:t>
            </w:r>
            <w:r w:rsidR="000846E4">
              <w:rPr>
                <w:rFonts w:eastAsia="Times New Roman" w:cs="Calibri"/>
                <w:color w:val="000000"/>
                <w:sz w:val="18"/>
                <w:szCs w:val="18"/>
              </w:rPr>
              <w:t>ý</w:t>
            </w:r>
            <w:r w:rsidRPr="000846E4">
              <w:rPr>
                <w:rFonts w:eastAsia="Times New Roman" w:cs="Calibri"/>
                <w:color w:val="000000"/>
                <w:sz w:val="18"/>
                <w:szCs w:val="18"/>
              </w:rPr>
              <w:t xml:space="preserve"> finanční majet</w:t>
            </w:r>
            <w:r w:rsidR="000846E4">
              <w:rPr>
                <w:rFonts w:eastAsia="Times New Roman" w:cs="Calibri"/>
                <w:color w:val="000000"/>
                <w:sz w:val="18"/>
                <w:szCs w:val="18"/>
              </w:rPr>
              <w:t>ek</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6,45%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7,79%</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7,35%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6,93%</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6,52%</w:t>
            </w:r>
          </w:p>
        </w:tc>
      </w:tr>
    </w:tbl>
    <w:p w:rsidR="00D53CD2" w:rsidRDefault="00D53CD2" w:rsidP="00961DB1">
      <w:pPr>
        <w:rPr>
          <w:sz w:val="20"/>
          <w:szCs w:val="20"/>
        </w:rPr>
      </w:pPr>
    </w:p>
    <w:p w:rsidR="00544F1D" w:rsidRDefault="00544F1D" w:rsidP="00961DB1">
      <w:pPr>
        <w:rPr>
          <w:sz w:val="20"/>
          <w:szCs w:val="20"/>
        </w:rPr>
      </w:pPr>
      <w:r>
        <w:rPr>
          <w:sz w:val="20"/>
          <w:szCs w:val="20"/>
        </w:rPr>
        <w:lastRenderedPageBreak/>
        <w:t>Ani v této skupině ukazatelů město nijak významně nevystupuje z celostátních průměrů, ovšem opět je třeba brát v potaz specifika přerozdělení majetku v případě části municipalit, kdy některé převedly část svého majetku na své (městské) společnosti, což nelze jednoduše z volně dostupných dat vysledovat.</w:t>
      </w:r>
    </w:p>
    <w:p w:rsidR="00544F1D" w:rsidRDefault="00544F1D" w:rsidP="00961DB1">
      <w:pPr>
        <w:rPr>
          <w:sz w:val="20"/>
          <w:szCs w:val="20"/>
        </w:rPr>
      </w:pPr>
    </w:p>
    <w:p w:rsidR="00D53CD2" w:rsidRDefault="00D53CD2" w:rsidP="00961DB1">
      <w:pPr>
        <w:rPr>
          <w:sz w:val="20"/>
          <w:szCs w:val="20"/>
        </w:rPr>
      </w:pPr>
      <w:r>
        <w:rPr>
          <w:sz w:val="20"/>
          <w:szCs w:val="20"/>
        </w:rPr>
        <w:t>Třetí</w:t>
      </w:r>
      <w:r w:rsidR="00633B96">
        <w:rPr>
          <w:sz w:val="20"/>
          <w:szCs w:val="20"/>
        </w:rPr>
        <w:t xml:space="preserve"> </w:t>
      </w:r>
      <w:r>
        <w:rPr>
          <w:sz w:val="20"/>
          <w:szCs w:val="20"/>
        </w:rPr>
        <w:t>skupinou jsou „</w:t>
      </w:r>
      <w:r w:rsidRPr="00D53CD2">
        <w:rPr>
          <w:sz w:val="20"/>
          <w:szCs w:val="20"/>
        </w:rPr>
        <w:t>Ukazatele majetkové reprodukce</w:t>
      </w:r>
      <w:r>
        <w:rPr>
          <w:sz w:val="20"/>
          <w:szCs w:val="20"/>
        </w:rPr>
        <w:t>“</w:t>
      </w:r>
      <w:r w:rsidRPr="00D53CD2">
        <w:rPr>
          <w:sz w:val="20"/>
          <w:szCs w:val="20"/>
        </w:rPr>
        <w:t xml:space="preserve"> (absolutní i relativní)</w:t>
      </w:r>
      <w:r>
        <w:rPr>
          <w:sz w:val="20"/>
          <w:szCs w:val="20"/>
        </w:rPr>
        <w:t>.</w:t>
      </w:r>
    </w:p>
    <w:p w:rsidR="00D53CD2" w:rsidRDefault="00D53CD2" w:rsidP="00961DB1">
      <w:pPr>
        <w:rPr>
          <w:sz w:val="20"/>
          <w:szCs w:val="20"/>
        </w:rPr>
      </w:pPr>
    </w:p>
    <w:p w:rsidR="00D53CD2" w:rsidRDefault="00D53CD2" w:rsidP="00D53CD2">
      <w:pPr>
        <w:pStyle w:val="tabulka"/>
        <w:numPr>
          <w:ilvl w:val="0"/>
          <w:numId w:val="32"/>
        </w:numPr>
        <w:tabs>
          <w:tab w:val="clear" w:pos="1418"/>
        </w:tabs>
        <w:spacing w:before="120" w:after="120"/>
        <w:ind w:left="1701" w:hanging="1701"/>
        <w:rPr>
          <w:sz w:val="20"/>
          <w:szCs w:val="20"/>
        </w:rPr>
      </w:pPr>
      <w:bookmarkStart w:id="59" w:name="_Toc25758086"/>
      <w:r>
        <w:rPr>
          <w:sz w:val="20"/>
          <w:szCs w:val="20"/>
        </w:rPr>
        <w:t>Ukazatele majetkové reprodukce</w:t>
      </w:r>
      <w:r w:rsidR="008911E1">
        <w:rPr>
          <w:sz w:val="20"/>
          <w:szCs w:val="20"/>
        </w:rPr>
        <w:t xml:space="preserve"> (podílové a absolutní)</w:t>
      </w:r>
      <w:bookmarkEnd w:id="59"/>
    </w:p>
    <w:tbl>
      <w:tblPr>
        <w:tblW w:w="5000" w:type="pct"/>
        <w:tblCellMar>
          <w:left w:w="70" w:type="dxa"/>
          <w:right w:w="70" w:type="dxa"/>
        </w:tblCellMar>
        <w:tblLook w:val="04A0" w:firstRow="1" w:lastRow="0" w:firstColumn="1" w:lastColumn="0" w:noHBand="0" w:noVBand="1"/>
      </w:tblPr>
      <w:tblGrid>
        <w:gridCol w:w="3952"/>
        <w:gridCol w:w="1052"/>
        <w:gridCol w:w="1052"/>
        <w:gridCol w:w="1052"/>
        <w:gridCol w:w="1052"/>
        <w:gridCol w:w="1052"/>
      </w:tblGrid>
      <w:tr w:rsidR="00120D30" w:rsidRPr="00120D30" w:rsidTr="002E392A">
        <w:trPr>
          <w:trHeight w:val="288"/>
          <w:tblHeader/>
        </w:trPr>
        <w:tc>
          <w:tcPr>
            <w:tcW w:w="2145"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left"/>
              <w:rPr>
                <w:rFonts w:eastAsia="Times New Roman"/>
                <w:b/>
                <w:color w:val="000000"/>
                <w:sz w:val="18"/>
                <w:szCs w:val="18"/>
              </w:rPr>
            </w:pPr>
            <w:r w:rsidRPr="00120D30">
              <w:rPr>
                <w:rFonts w:eastAsia="Times New Roman"/>
                <w:b/>
                <w:color w:val="000000"/>
                <w:sz w:val="18"/>
                <w:szCs w:val="18"/>
              </w:rPr>
              <w:t>Název ukazatele</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2014</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2015</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2016</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2017</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2018</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rPr>
                <w:rFonts w:eastAsia="Times New Roman"/>
                <w:color w:val="000000"/>
                <w:sz w:val="18"/>
                <w:szCs w:val="18"/>
              </w:rPr>
            </w:pPr>
            <w:r w:rsidRPr="00120D30">
              <w:rPr>
                <w:rFonts w:eastAsia="Times New Roman"/>
                <w:color w:val="000000"/>
                <w:sz w:val="18"/>
                <w:szCs w:val="18"/>
              </w:rPr>
              <w:t>opravy DHNM/BV</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21,68%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9,11%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7,03%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10,25%</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9,23%</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rPr>
                <w:rFonts w:eastAsia="Times New Roman"/>
                <w:color w:val="000000"/>
                <w:sz w:val="18"/>
                <w:szCs w:val="18"/>
              </w:rPr>
            </w:pPr>
            <w:r w:rsidRPr="00120D30">
              <w:rPr>
                <w:rFonts w:eastAsia="Times New Roman"/>
                <w:color w:val="000000"/>
                <w:sz w:val="18"/>
                <w:szCs w:val="18"/>
              </w:rPr>
              <w:t>opravy/DHNM</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3,12%</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0,94%</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1,59%</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1,39%</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rPr>
                <w:rFonts w:eastAsia="Times New Roman"/>
                <w:color w:val="000000"/>
                <w:sz w:val="18"/>
                <w:szCs w:val="18"/>
              </w:rPr>
            </w:pPr>
            <w:r w:rsidRPr="00120D30">
              <w:rPr>
                <w:rFonts w:eastAsia="Times New Roman"/>
                <w:color w:val="000000"/>
                <w:sz w:val="18"/>
                <w:szCs w:val="18"/>
              </w:rPr>
              <w:t>výdaje na pořízení DHM</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5 191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13 400</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29 135</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75 553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79 757</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left"/>
              <w:rPr>
                <w:rFonts w:eastAsia="Times New Roman"/>
                <w:color w:val="000000"/>
                <w:sz w:val="18"/>
                <w:szCs w:val="18"/>
              </w:rPr>
            </w:pPr>
            <w:r w:rsidRPr="00120D30">
              <w:rPr>
                <w:rFonts w:eastAsia="Times New Roman"/>
                <w:color w:val="000000"/>
                <w:sz w:val="18"/>
                <w:szCs w:val="18"/>
              </w:rPr>
              <w:t>výdaje na pořízení DHM/1 obyvatel (Kč)</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804</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2 041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4 416</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11 366</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11 915</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left"/>
              <w:rPr>
                <w:rFonts w:eastAsia="Times New Roman"/>
                <w:color w:val="000000"/>
                <w:sz w:val="18"/>
                <w:szCs w:val="18"/>
              </w:rPr>
            </w:pPr>
            <w:r w:rsidRPr="00120D30">
              <w:rPr>
                <w:rFonts w:eastAsia="Times New Roman"/>
                <w:color w:val="000000"/>
                <w:sz w:val="18"/>
                <w:szCs w:val="18"/>
              </w:rPr>
              <w:t>příjmy z pronájmu majetku</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13 841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13 542</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13 373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13 513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13 504</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left"/>
              <w:rPr>
                <w:rFonts w:eastAsia="Times New Roman"/>
                <w:color w:val="000000"/>
                <w:sz w:val="18"/>
                <w:szCs w:val="18"/>
              </w:rPr>
            </w:pPr>
            <w:r w:rsidRPr="00120D30">
              <w:rPr>
                <w:rFonts w:eastAsia="Times New Roman"/>
                <w:color w:val="000000"/>
                <w:sz w:val="18"/>
                <w:szCs w:val="18"/>
              </w:rPr>
              <w:t>výdaje na opravy a udržování</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21 121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9 348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6 388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11 773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11 512</w:t>
            </w:r>
          </w:p>
        </w:tc>
      </w:tr>
    </w:tbl>
    <w:p w:rsidR="00D53CD2" w:rsidRDefault="00D53CD2" w:rsidP="00961DB1">
      <w:pPr>
        <w:rPr>
          <w:sz w:val="20"/>
          <w:szCs w:val="20"/>
        </w:rPr>
      </w:pPr>
    </w:p>
    <w:p w:rsidR="00544F1D" w:rsidRDefault="00544F1D" w:rsidP="00961DB1">
      <w:pPr>
        <w:rPr>
          <w:sz w:val="20"/>
          <w:szCs w:val="20"/>
        </w:rPr>
      </w:pPr>
      <w:r>
        <w:rPr>
          <w:sz w:val="20"/>
          <w:szCs w:val="20"/>
        </w:rPr>
        <w:t xml:space="preserve">Tuto skupinu ukazatelů není možné porovnávat s daty spočtenými z celostátních statistických výkazů, jelikož vykazuje největší rozptyl daný již výše uvedenou správou části, leckdy i všech, nemovitých majetků třetí stranou (byť se jedná </w:t>
      </w:r>
      <w:r w:rsidR="00724B54">
        <w:rPr>
          <w:sz w:val="20"/>
          <w:szCs w:val="20"/>
        </w:rPr>
        <w:t>o městský „subjekt“), což je i případ města Slavkov u Brna, kde se na správě nemovitostí významně podílí organizační složka Bytové a tepelné hospodářství, která je účetně vedena jako hospodářská činnost města, a okrajověji také všechny příspěvkové organizace města.</w:t>
      </w:r>
    </w:p>
    <w:p w:rsidR="00544F1D" w:rsidRDefault="00544F1D" w:rsidP="00961DB1">
      <w:pPr>
        <w:rPr>
          <w:sz w:val="20"/>
          <w:szCs w:val="20"/>
        </w:rPr>
      </w:pPr>
    </w:p>
    <w:p w:rsidR="008911E1" w:rsidRDefault="00633B96" w:rsidP="00961DB1">
      <w:pPr>
        <w:rPr>
          <w:sz w:val="20"/>
          <w:szCs w:val="20"/>
        </w:rPr>
      </w:pPr>
      <w:r>
        <w:rPr>
          <w:sz w:val="20"/>
          <w:szCs w:val="20"/>
        </w:rPr>
        <w:t>Čtvrtá a poslední skupina ukazatelů jsou „Ukazatele majetkové bonity“, které lze považovat za ty nejdůležitější. Všech pět je už buď přímo obsaženo v předešlých skupinách, nebo jsou z nich dopočteny.</w:t>
      </w:r>
    </w:p>
    <w:p w:rsidR="00633B96" w:rsidRDefault="00633B96" w:rsidP="00961DB1">
      <w:pPr>
        <w:rPr>
          <w:sz w:val="20"/>
          <w:szCs w:val="20"/>
        </w:rPr>
      </w:pPr>
    </w:p>
    <w:p w:rsidR="00633B96" w:rsidRDefault="00633B96" w:rsidP="00633B96">
      <w:pPr>
        <w:pStyle w:val="tabulka"/>
        <w:numPr>
          <w:ilvl w:val="0"/>
          <w:numId w:val="32"/>
        </w:numPr>
        <w:tabs>
          <w:tab w:val="clear" w:pos="1418"/>
        </w:tabs>
        <w:spacing w:before="120" w:after="120"/>
        <w:ind w:left="1701" w:hanging="1701"/>
        <w:rPr>
          <w:sz w:val="20"/>
          <w:szCs w:val="20"/>
        </w:rPr>
      </w:pPr>
      <w:bookmarkStart w:id="60" w:name="_Toc25758087"/>
      <w:r>
        <w:rPr>
          <w:sz w:val="20"/>
          <w:szCs w:val="20"/>
        </w:rPr>
        <w:t>Ukazatele majetkové bonity</w:t>
      </w:r>
      <w:bookmarkEnd w:id="60"/>
    </w:p>
    <w:tbl>
      <w:tblPr>
        <w:tblW w:w="5000" w:type="pct"/>
        <w:tblCellMar>
          <w:left w:w="70" w:type="dxa"/>
          <w:right w:w="70" w:type="dxa"/>
        </w:tblCellMar>
        <w:tblLook w:val="04A0" w:firstRow="1" w:lastRow="0" w:firstColumn="1" w:lastColumn="0" w:noHBand="0" w:noVBand="1"/>
      </w:tblPr>
      <w:tblGrid>
        <w:gridCol w:w="3970"/>
        <w:gridCol w:w="1049"/>
        <w:gridCol w:w="1049"/>
        <w:gridCol w:w="1048"/>
        <w:gridCol w:w="1048"/>
        <w:gridCol w:w="1048"/>
      </w:tblGrid>
      <w:tr w:rsidR="00E500CE" w:rsidRPr="002A7B96" w:rsidTr="002E392A">
        <w:trPr>
          <w:trHeight w:val="288"/>
        </w:trPr>
        <w:tc>
          <w:tcPr>
            <w:tcW w:w="2154"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left"/>
              <w:rPr>
                <w:rFonts w:eastAsia="Times New Roman" w:cs="Calibri"/>
                <w:b/>
                <w:color w:val="000000"/>
                <w:sz w:val="18"/>
                <w:szCs w:val="18"/>
              </w:rPr>
            </w:pPr>
            <w:r w:rsidRPr="002A7B96">
              <w:rPr>
                <w:rFonts w:eastAsia="Times New Roman" w:cs="Calibri"/>
                <w:b/>
                <w:color w:val="000000"/>
                <w:sz w:val="18"/>
                <w:szCs w:val="18"/>
              </w:rPr>
              <w:t>Název ukazatele</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2014</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2015</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2016</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2017</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2018</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rPr>
                <w:rFonts w:eastAsia="Times New Roman" w:cs="Calibri"/>
                <w:color w:val="000000"/>
                <w:sz w:val="18"/>
                <w:szCs w:val="18"/>
              </w:rPr>
            </w:pPr>
            <w:r w:rsidRPr="002A7B96">
              <w:rPr>
                <w:rFonts w:eastAsia="Times New Roman" w:cs="Calibri"/>
                <w:color w:val="000000"/>
                <w:sz w:val="18"/>
                <w:szCs w:val="18"/>
              </w:rPr>
              <w:t>celkový objem majetku na obyvatele</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123 969</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126 037</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132 743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139 791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147 441</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rPr>
                <w:rFonts w:eastAsia="Times New Roman" w:cs="Calibri"/>
                <w:color w:val="000000"/>
                <w:sz w:val="18"/>
                <w:szCs w:val="18"/>
              </w:rPr>
            </w:pPr>
            <w:r w:rsidRPr="002A7B96">
              <w:rPr>
                <w:rFonts w:eastAsia="Times New Roman" w:cs="Calibri"/>
                <w:color w:val="000000"/>
                <w:sz w:val="18"/>
                <w:szCs w:val="18"/>
              </w:rPr>
              <w:t>dlouhodobý hmotný majetek na obyvatele</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104 221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102 361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102 493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110 931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123 357</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left"/>
              <w:rPr>
                <w:rFonts w:eastAsia="Times New Roman" w:cs="Calibri"/>
                <w:color w:val="000000"/>
                <w:sz w:val="18"/>
                <w:szCs w:val="18"/>
              </w:rPr>
            </w:pPr>
            <w:r w:rsidRPr="002A7B96">
              <w:rPr>
                <w:rFonts w:eastAsia="Times New Roman" w:cs="Calibri"/>
                <w:color w:val="000000"/>
                <w:sz w:val="18"/>
                <w:szCs w:val="18"/>
              </w:rPr>
              <w:t>zadluženost na obyvatele</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7 087</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7 463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6 291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5 195</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8 735</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left"/>
              <w:rPr>
                <w:rFonts w:eastAsia="Times New Roman" w:cs="Calibri"/>
                <w:color w:val="000000"/>
                <w:sz w:val="18"/>
                <w:szCs w:val="18"/>
              </w:rPr>
            </w:pPr>
            <w:r w:rsidRPr="002A7B96">
              <w:rPr>
                <w:rFonts w:eastAsia="Times New Roman" w:cs="Calibri"/>
                <w:color w:val="000000"/>
                <w:sz w:val="18"/>
                <w:szCs w:val="18"/>
              </w:rPr>
              <w:t>výnosnost majetku</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1,73%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1,64%</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1,53%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1,45%</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1,37%</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left"/>
              <w:rPr>
                <w:rFonts w:eastAsia="Times New Roman" w:cs="Calibri"/>
                <w:color w:val="000000"/>
                <w:sz w:val="18"/>
                <w:szCs w:val="18"/>
              </w:rPr>
            </w:pPr>
            <w:r w:rsidRPr="002A7B96">
              <w:rPr>
                <w:rFonts w:eastAsia="Times New Roman" w:cs="Calibri"/>
                <w:color w:val="000000"/>
                <w:sz w:val="18"/>
                <w:szCs w:val="18"/>
              </w:rPr>
              <w:t>podíl cizích zdrojů na majetku</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9,05%</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10,02%</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10,72%</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9,46%</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9,46%</w:t>
            </w:r>
          </w:p>
        </w:tc>
      </w:tr>
    </w:tbl>
    <w:p w:rsidR="008911E1" w:rsidRPr="002A7B96" w:rsidRDefault="008911E1" w:rsidP="00961DB1">
      <w:pPr>
        <w:rPr>
          <w:sz w:val="18"/>
          <w:szCs w:val="18"/>
        </w:rPr>
      </w:pPr>
    </w:p>
    <w:p w:rsidR="008911E1" w:rsidRDefault="00E500CE" w:rsidP="00961DB1">
      <w:pPr>
        <w:rPr>
          <w:sz w:val="20"/>
          <w:szCs w:val="20"/>
        </w:rPr>
      </w:pPr>
      <w:r>
        <w:rPr>
          <w:sz w:val="20"/>
          <w:szCs w:val="20"/>
        </w:rPr>
        <w:t xml:space="preserve">Tato skupina ukazatelů má ve sledovaném období neutrální až mírně příznivý vývoj. Objem majetku na jednoho obyvatele v čase mírně stoupá, což lze </w:t>
      </w:r>
      <w:r w:rsidR="00886719">
        <w:rPr>
          <w:sz w:val="20"/>
          <w:szCs w:val="20"/>
        </w:rPr>
        <w:t xml:space="preserve">v celkovém kontextu </w:t>
      </w:r>
      <w:r>
        <w:rPr>
          <w:sz w:val="20"/>
          <w:szCs w:val="20"/>
        </w:rPr>
        <w:t>hodnotit neutrálně. Zadluženost v čase kolísá, v posledním roce dosáhla nejvyšší hodnoty</w:t>
      </w:r>
      <w:r w:rsidR="000A1F9C">
        <w:rPr>
          <w:sz w:val="20"/>
          <w:szCs w:val="20"/>
        </w:rPr>
        <w:t xml:space="preserve">, hodnocení vyznívá opět neutrálně. Podíl cizích zdrojů na majetku má kolísavý vývoj s trendem snižování a vzhledem k nárůstu celkového objemu, se jedná o pozitivní stav. Naopak výnosnost majetku jako jediný ukazatel má trvalý lehce sestupný trend, což je především dáno </w:t>
      </w:r>
      <w:r w:rsidR="00886719">
        <w:rPr>
          <w:sz w:val="20"/>
          <w:szCs w:val="20"/>
        </w:rPr>
        <w:t>nárůstem objemu, aniž by tím byl ovlivněn komerční potenciál, tedy i hodnocení tohoto ukazatele je spíše neutrální (v případě „tvrdšího“ přístupu mírně negativní).</w:t>
      </w:r>
    </w:p>
    <w:p w:rsidR="00472D33" w:rsidRDefault="00472D33" w:rsidP="00961DB1">
      <w:pPr>
        <w:rPr>
          <w:sz w:val="20"/>
          <w:szCs w:val="20"/>
        </w:rPr>
      </w:pPr>
    </w:p>
    <w:p w:rsidR="00AF2ED1" w:rsidRDefault="00AF2ED1" w:rsidP="00961DB1">
      <w:pPr>
        <w:rPr>
          <w:sz w:val="20"/>
          <w:szCs w:val="20"/>
        </w:rPr>
      </w:pPr>
    </w:p>
    <w:p w:rsidR="00AF2ED1" w:rsidRDefault="00AF2ED1" w:rsidP="00AF2ED1">
      <w:pPr>
        <w:pStyle w:val="Nadpis2"/>
        <w:numPr>
          <w:ilvl w:val="1"/>
          <w:numId w:val="6"/>
        </w:numPr>
        <w:pBdr>
          <w:bottom w:val="none" w:sz="0" w:space="0" w:color="auto"/>
        </w:pBdr>
        <w:rPr>
          <w:b/>
          <w:bCs w:val="0"/>
          <w:color w:val="404040" w:themeColor="text1" w:themeTint="BF"/>
          <w:sz w:val="22"/>
          <w:szCs w:val="22"/>
        </w:rPr>
      </w:pPr>
      <w:bookmarkStart w:id="61" w:name="_Toc34910902"/>
      <w:r w:rsidRPr="00AF2ED1">
        <w:rPr>
          <w:b/>
          <w:bCs w:val="0"/>
          <w:color w:val="404040" w:themeColor="text1" w:themeTint="BF"/>
          <w:sz w:val="22"/>
          <w:szCs w:val="22"/>
        </w:rPr>
        <w:lastRenderedPageBreak/>
        <w:t>Hodnota nemovitého majetku (vztah účetní a reálné)</w:t>
      </w:r>
      <w:bookmarkEnd w:id="61"/>
    </w:p>
    <w:p w:rsidR="00AF2ED1" w:rsidRDefault="00AF2ED1" w:rsidP="00AF2ED1">
      <w:pPr>
        <w:rPr>
          <w:lang w:val="en-US"/>
        </w:rPr>
      </w:pPr>
    </w:p>
    <w:p w:rsidR="00AF2ED1" w:rsidRDefault="00AF2ED1" w:rsidP="00AF2ED1">
      <w:pPr>
        <w:rPr>
          <w:sz w:val="20"/>
          <w:szCs w:val="20"/>
        </w:rPr>
      </w:pPr>
      <w:r w:rsidRPr="00AF2ED1">
        <w:rPr>
          <w:sz w:val="20"/>
          <w:szCs w:val="20"/>
        </w:rPr>
        <w:t xml:space="preserve">Jak již bylo </w:t>
      </w:r>
      <w:r>
        <w:rPr>
          <w:sz w:val="20"/>
          <w:szCs w:val="20"/>
        </w:rPr>
        <w:t xml:space="preserve">zmíněno na začátku kapitoly, majetek je účetně evidován v historických cenách, což má vliv na jakékoliv hodnocení města z hlediska hospodaření s majetkem, vycházející </w:t>
      </w:r>
      <w:r w:rsidR="00F50A7D">
        <w:rPr>
          <w:sz w:val="20"/>
          <w:szCs w:val="20"/>
        </w:rPr>
        <w:t>z dat, se kterými se běžně pracuje</w:t>
      </w:r>
      <w:r>
        <w:rPr>
          <w:sz w:val="20"/>
          <w:szCs w:val="20"/>
        </w:rPr>
        <w:t xml:space="preserve">. </w:t>
      </w:r>
      <w:r w:rsidR="00F50A7D">
        <w:rPr>
          <w:sz w:val="20"/>
          <w:szCs w:val="20"/>
        </w:rPr>
        <w:t>Následující tabulka ukazuje, jak velký je rozdíl mezi účetními a reálnými cenami v případě budov ve vlastnictví města. Reálné ceny byly odhadnuty na základě uzavřených pojistných smluv, které jsou obvykle uzavírány na hodnoty blízké nákladům na nově pořízený majetek s danou užitnou hodnotou.</w:t>
      </w:r>
    </w:p>
    <w:p w:rsidR="00F50A7D" w:rsidRDefault="00F50A7D" w:rsidP="00AF2ED1">
      <w:pPr>
        <w:rPr>
          <w:sz w:val="20"/>
          <w:szCs w:val="20"/>
        </w:rPr>
      </w:pPr>
    </w:p>
    <w:p w:rsidR="00F50A7D" w:rsidRDefault="00F50A7D" w:rsidP="00F50A7D">
      <w:pPr>
        <w:pStyle w:val="tabulka"/>
        <w:numPr>
          <w:ilvl w:val="0"/>
          <w:numId w:val="32"/>
        </w:numPr>
        <w:tabs>
          <w:tab w:val="clear" w:pos="1418"/>
        </w:tabs>
        <w:spacing w:before="120" w:after="120"/>
        <w:ind w:left="1701" w:hanging="1701"/>
        <w:rPr>
          <w:sz w:val="20"/>
          <w:szCs w:val="20"/>
        </w:rPr>
      </w:pPr>
      <w:bookmarkStart w:id="62" w:name="_Toc25758088"/>
      <w:r>
        <w:rPr>
          <w:sz w:val="20"/>
          <w:szCs w:val="20"/>
        </w:rPr>
        <w:t>Srovnání účetní a reálné (odhad) hodnoty</w:t>
      </w:r>
      <w:bookmarkEnd w:id="62"/>
    </w:p>
    <w:tbl>
      <w:tblPr>
        <w:tblW w:w="7300" w:type="dxa"/>
        <w:tblInd w:w="61" w:type="dxa"/>
        <w:tblCellMar>
          <w:left w:w="70" w:type="dxa"/>
          <w:right w:w="70" w:type="dxa"/>
        </w:tblCellMar>
        <w:tblLook w:val="04A0" w:firstRow="1" w:lastRow="0" w:firstColumn="1" w:lastColumn="0" w:noHBand="0" w:noVBand="1"/>
      </w:tblPr>
      <w:tblGrid>
        <w:gridCol w:w="2180"/>
        <w:gridCol w:w="2060"/>
        <w:gridCol w:w="2100"/>
        <w:gridCol w:w="960"/>
      </w:tblGrid>
      <w:tr w:rsidR="00F50A7D" w:rsidRPr="00F50A7D" w:rsidTr="002E392A">
        <w:trPr>
          <w:trHeight w:val="288"/>
        </w:trPr>
        <w:tc>
          <w:tcPr>
            <w:tcW w:w="21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left"/>
              <w:rPr>
                <w:rFonts w:eastAsia="Times New Roman" w:cs="Calibri"/>
                <w:b/>
                <w:bCs/>
                <w:color w:val="000000"/>
                <w:sz w:val="18"/>
                <w:szCs w:val="18"/>
              </w:rPr>
            </w:pPr>
            <w:r w:rsidRPr="00F50A7D">
              <w:rPr>
                <w:rFonts w:eastAsia="Times New Roman" w:cs="Calibri"/>
                <w:b/>
                <w:bCs/>
                <w:color w:val="000000"/>
                <w:sz w:val="18"/>
                <w:szCs w:val="18"/>
              </w:rPr>
              <w:t>Typ stavby</w:t>
            </w:r>
          </w:p>
        </w:tc>
        <w:tc>
          <w:tcPr>
            <w:tcW w:w="2060" w:type="dxa"/>
            <w:tcBorders>
              <w:top w:val="single" w:sz="4" w:space="0" w:color="auto"/>
              <w:left w:val="nil"/>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center"/>
              <w:rPr>
                <w:rFonts w:eastAsia="Times New Roman" w:cs="Calibri"/>
                <w:b/>
                <w:bCs/>
                <w:color w:val="000000"/>
                <w:sz w:val="18"/>
                <w:szCs w:val="18"/>
              </w:rPr>
            </w:pPr>
            <w:r w:rsidRPr="00F50A7D">
              <w:rPr>
                <w:rFonts w:eastAsia="Times New Roman" w:cs="Calibri"/>
                <w:b/>
                <w:bCs/>
                <w:color w:val="000000"/>
                <w:sz w:val="18"/>
                <w:szCs w:val="18"/>
              </w:rPr>
              <w:t>účetní hodnota [Kč]</w:t>
            </w:r>
          </w:p>
        </w:tc>
        <w:tc>
          <w:tcPr>
            <w:tcW w:w="2100" w:type="dxa"/>
            <w:tcBorders>
              <w:top w:val="single" w:sz="4" w:space="0" w:color="auto"/>
              <w:left w:val="nil"/>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center"/>
              <w:rPr>
                <w:rFonts w:eastAsia="Times New Roman" w:cs="Calibri"/>
                <w:b/>
                <w:bCs/>
                <w:color w:val="000000"/>
                <w:sz w:val="18"/>
                <w:szCs w:val="18"/>
              </w:rPr>
            </w:pPr>
            <w:r w:rsidRPr="00F50A7D">
              <w:rPr>
                <w:rFonts w:eastAsia="Times New Roman" w:cs="Calibri"/>
                <w:b/>
                <w:bCs/>
                <w:color w:val="000000"/>
                <w:sz w:val="18"/>
                <w:szCs w:val="18"/>
              </w:rPr>
              <w:t>odhad hodnoty [Kč]</w:t>
            </w:r>
          </w:p>
        </w:tc>
        <w:tc>
          <w:tcPr>
            <w:tcW w:w="960" w:type="dxa"/>
            <w:tcBorders>
              <w:top w:val="single" w:sz="4" w:space="0" w:color="auto"/>
              <w:left w:val="nil"/>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left"/>
              <w:rPr>
                <w:rFonts w:eastAsia="Times New Roman" w:cs="Calibri"/>
                <w:b/>
                <w:bCs/>
                <w:color w:val="000000"/>
                <w:sz w:val="18"/>
                <w:szCs w:val="18"/>
              </w:rPr>
            </w:pPr>
            <w:r w:rsidRPr="00F50A7D">
              <w:rPr>
                <w:rFonts w:eastAsia="Times New Roman" w:cs="Calibri"/>
                <w:b/>
                <w:bCs/>
                <w:color w:val="000000"/>
                <w:sz w:val="18"/>
                <w:szCs w:val="18"/>
              </w:rPr>
              <w:t>poměr</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color w:val="000000"/>
                <w:sz w:val="18"/>
                <w:szCs w:val="18"/>
              </w:rPr>
            </w:pPr>
            <w:r w:rsidRPr="00F50A7D">
              <w:rPr>
                <w:rFonts w:eastAsia="Times New Roman" w:cs="Calibri"/>
                <w:color w:val="000000"/>
                <w:sz w:val="18"/>
                <w:szCs w:val="18"/>
              </w:rPr>
              <w:t>bytové domy</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103 997 230</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400 041 900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26,00%</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color w:val="000000"/>
                <w:sz w:val="18"/>
                <w:szCs w:val="18"/>
              </w:rPr>
            </w:pPr>
            <w:r w:rsidRPr="00F50A7D">
              <w:rPr>
                <w:rFonts w:eastAsia="Times New Roman" w:cs="Calibri"/>
                <w:color w:val="000000"/>
                <w:sz w:val="18"/>
                <w:szCs w:val="18"/>
              </w:rPr>
              <w:t>poliklinika</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34 659 472</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68 775 000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50,40%</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color w:val="000000"/>
                <w:sz w:val="18"/>
                <w:szCs w:val="18"/>
              </w:rPr>
            </w:pPr>
            <w:r w:rsidRPr="00F50A7D">
              <w:rPr>
                <w:rFonts w:eastAsia="Times New Roman" w:cs="Calibri"/>
                <w:color w:val="000000"/>
                <w:sz w:val="18"/>
                <w:szCs w:val="18"/>
              </w:rPr>
              <w:t>ostatní budovy</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399 456 084</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985 418 000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40,54%</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b/>
                <w:bCs/>
                <w:color w:val="000000"/>
                <w:sz w:val="18"/>
                <w:szCs w:val="18"/>
              </w:rPr>
            </w:pPr>
            <w:r w:rsidRPr="00F50A7D">
              <w:rPr>
                <w:rFonts w:eastAsia="Times New Roman" w:cs="Calibri"/>
                <w:b/>
                <w:bCs/>
                <w:color w:val="000000"/>
                <w:sz w:val="18"/>
                <w:szCs w:val="18"/>
              </w:rPr>
              <w:t>celkem</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b/>
                <w:bCs/>
                <w:color w:val="000000"/>
                <w:sz w:val="18"/>
                <w:szCs w:val="18"/>
              </w:rPr>
            </w:pPr>
            <w:r w:rsidRPr="00F50A7D">
              <w:rPr>
                <w:rFonts w:eastAsia="Times New Roman" w:cs="Calibri"/>
                <w:b/>
                <w:bCs/>
                <w:color w:val="000000"/>
                <w:sz w:val="18"/>
                <w:szCs w:val="18"/>
              </w:rPr>
              <w:t>538 112 786</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b/>
                <w:bCs/>
                <w:color w:val="000000"/>
                <w:sz w:val="18"/>
                <w:szCs w:val="18"/>
              </w:rPr>
            </w:pPr>
            <w:r w:rsidRPr="00F50A7D">
              <w:rPr>
                <w:rFonts w:eastAsia="Times New Roman" w:cs="Calibri"/>
                <w:b/>
                <w:bCs/>
                <w:color w:val="000000"/>
                <w:sz w:val="18"/>
                <w:szCs w:val="18"/>
              </w:rPr>
              <w:t>1 454 234 900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b/>
                <w:bCs/>
                <w:color w:val="000000"/>
                <w:sz w:val="18"/>
                <w:szCs w:val="18"/>
              </w:rPr>
            </w:pPr>
            <w:r w:rsidRPr="00F50A7D">
              <w:rPr>
                <w:rFonts w:eastAsia="Times New Roman" w:cs="Calibri"/>
                <w:b/>
                <w:bCs/>
                <w:color w:val="000000"/>
                <w:sz w:val="18"/>
                <w:szCs w:val="18"/>
              </w:rPr>
              <w:t>37,00%</w:t>
            </w:r>
          </w:p>
        </w:tc>
      </w:tr>
    </w:tbl>
    <w:p w:rsidR="00F50A7D" w:rsidRPr="00AF2ED1" w:rsidRDefault="00F50A7D" w:rsidP="00AF2ED1">
      <w:pPr>
        <w:rPr>
          <w:sz w:val="20"/>
          <w:szCs w:val="20"/>
        </w:rPr>
      </w:pPr>
    </w:p>
    <w:p w:rsidR="00AF2ED1" w:rsidRDefault="00F50A7D" w:rsidP="00961DB1">
      <w:pPr>
        <w:rPr>
          <w:sz w:val="20"/>
          <w:szCs w:val="20"/>
        </w:rPr>
      </w:pPr>
      <w:r>
        <w:rPr>
          <w:sz w:val="20"/>
          <w:szCs w:val="20"/>
        </w:rPr>
        <w:t xml:space="preserve">Z toho je jasně vidět, že reálná hodnota majetku bývá násobkem účetní hodnoty. </w:t>
      </w:r>
      <w:r w:rsidR="00EC7FA3">
        <w:rPr>
          <w:sz w:val="20"/>
          <w:szCs w:val="20"/>
        </w:rPr>
        <w:t xml:space="preserve">Na věci moc nezmění ani to, že zde je porovnávána pouze část majetku, a tou jsou budovy. </w:t>
      </w:r>
      <w:r>
        <w:rPr>
          <w:sz w:val="20"/>
          <w:szCs w:val="20"/>
        </w:rPr>
        <w:t>V případě města Slavkov</w:t>
      </w:r>
      <w:r w:rsidR="001E204C">
        <w:rPr>
          <w:sz w:val="20"/>
          <w:szCs w:val="20"/>
        </w:rPr>
        <w:t xml:space="preserve"> u Brna</w:t>
      </w:r>
      <w:r>
        <w:rPr>
          <w:sz w:val="20"/>
          <w:szCs w:val="20"/>
        </w:rPr>
        <w:t xml:space="preserve"> činí reálná hodnota více než 2,5 násobek účetní hodnoty, čímž město nijak zvlášť nevybočuje z běžných mezí, kdy se tento poměr obvykle pohybuje mezi </w:t>
      </w:r>
      <w:r w:rsidR="00460690">
        <w:rPr>
          <w:sz w:val="20"/>
          <w:szCs w:val="20"/>
        </w:rPr>
        <w:t>1,7 a 4 násobkem. Z tohoto důvodu je doporučováno vést v evidenci majetku též odhadované reálné ceny</w:t>
      </w:r>
      <w:r w:rsidR="00747855">
        <w:rPr>
          <w:sz w:val="20"/>
          <w:szCs w:val="20"/>
        </w:rPr>
        <w:t>. Aktualizace reálných cen, stejně jako pojistných smluv, by měla proběhnout (alespoň) jednou za volební období (4 roky). Správně by i</w:t>
      </w:r>
      <w:r w:rsidR="001E204C">
        <w:rPr>
          <w:sz w:val="20"/>
          <w:szCs w:val="20"/>
        </w:rPr>
        <w:t> </w:t>
      </w:r>
      <w:r w:rsidR="00747855">
        <w:rPr>
          <w:sz w:val="20"/>
          <w:szCs w:val="20"/>
        </w:rPr>
        <w:t xml:space="preserve">prostředky vkládané do údržby a obnovy měly být navázány na takto vypočtené reálné ceny. Většinou se doporučuje věnovat na opravy </w:t>
      </w:r>
      <w:r w:rsidR="00EC7FA3">
        <w:rPr>
          <w:sz w:val="20"/>
          <w:szCs w:val="20"/>
        </w:rPr>
        <w:t xml:space="preserve">a udržování </w:t>
      </w:r>
      <w:r w:rsidR="00747855">
        <w:rPr>
          <w:sz w:val="20"/>
          <w:szCs w:val="20"/>
        </w:rPr>
        <w:t>majetku nejméně 1,6% jeho reálné hodnoty ročně, což ale u většiny měst samozřejmě představuje částku vyšší</w:t>
      </w:r>
      <w:r w:rsidR="001E204C">
        <w:rPr>
          <w:sz w:val="20"/>
          <w:szCs w:val="20"/>
        </w:rPr>
        <w:t>,</w:t>
      </w:r>
      <w:r w:rsidR="00747855">
        <w:rPr>
          <w:sz w:val="20"/>
          <w:szCs w:val="20"/>
        </w:rPr>
        <w:t xml:space="preserve"> než činí odpisy z účetní hodnoty. A to by ještě měla být vytvářena rezerva na úplnou náhradu tohoto majetku. </w:t>
      </w:r>
      <w:r w:rsidR="00EC7FA3">
        <w:rPr>
          <w:sz w:val="20"/>
          <w:szCs w:val="20"/>
        </w:rPr>
        <w:t xml:space="preserve">Výjimkou jsou pozemky (především zemědělská půda a </w:t>
      </w:r>
      <w:r w:rsidR="00623C84">
        <w:rPr>
          <w:sz w:val="20"/>
          <w:szCs w:val="20"/>
        </w:rPr>
        <w:t xml:space="preserve">louky), které se neodepisují a obvykle nevyžadují nákladnou údržbu, což ale už nelze říct </w:t>
      </w:r>
      <w:r w:rsidR="00724B54">
        <w:rPr>
          <w:sz w:val="20"/>
          <w:szCs w:val="20"/>
        </w:rPr>
        <w:t xml:space="preserve">např. </w:t>
      </w:r>
      <w:r w:rsidR="00623C84">
        <w:rPr>
          <w:sz w:val="20"/>
          <w:szCs w:val="20"/>
        </w:rPr>
        <w:t>o</w:t>
      </w:r>
      <w:r w:rsidR="001E204C">
        <w:rPr>
          <w:sz w:val="20"/>
          <w:szCs w:val="20"/>
        </w:rPr>
        <w:t> </w:t>
      </w:r>
      <w:r w:rsidR="00623C84">
        <w:rPr>
          <w:sz w:val="20"/>
          <w:szCs w:val="20"/>
        </w:rPr>
        <w:t xml:space="preserve">lesních porostech. </w:t>
      </w:r>
      <w:r w:rsidR="00357991">
        <w:rPr>
          <w:sz w:val="20"/>
          <w:szCs w:val="20"/>
        </w:rPr>
        <w:t xml:space="preserve">Malou útěchou, na níž se ale z důvodu nedostatku finančních prostředků hřeší, je délka životního cyklu, který </w:t>
      </w:r>
      <w:r w:rsidR="00623C84">
        <w:rPr>
          <w:sz w:val="20"/>
          <w:szCs w:val="20"/>
        </w:rPr>
        <w:t xml:space="preserve">u staveb </w:t>
      </w:r>
      <w:r w:rsidR="00357991">
        <w:rPr>
          <w:sz w:val="20"/>
          <w:szCs w:val="20"/>
        </w:rPr>
        <w:t xml:space="preserve">nezřídka přesahuje sto let, tedy </w:t>
      </w:r>
      <w:r w:rsidR="00724B54">
        <w:rPr>
          <w:sz w:val="20"/>
          <w:szCs w:val="20"/>
        </w:rPr>
        <w:t>potřeba řešit takovouto situaci</w:t>
      </w:r>
      <w:r w:rsidR="00357991">
        <w:rPr>
          <w:sz w:val="20"/>
          <w:szCs w:val="20"/>
        </w:rPr>
        <w:t xml:space="preserve"> téměř jistě padne na jiné.</w:t>
      </w:r>
    </w:p>
    <w:p w:rsidR="004D1AB8" w:rsidRPr="004D1AB8" w:rsidRDefault="00EF607D" w:rsidP="004D1AB8">
      <w:pPr>
        <w:pStyle w:val="AQE1"/>
        <w:numPr>
          <w:ilvl w:val="0"/>
          <w:numId w:val="6"/>
        </w:numPr>
        <w:rPr>
          <w:sz w:val="28"/>
          <w:szCs w:val="28"/>
          <w:lang w:val="cs-CZ"/>
        </w:rPr>
      </w:pPr>
      <w:bookmarkStart w:id="63" w:name="_Toc34910903"/>
      <w:r>
        <w:rPr>
          <w:sz w:val="28"/>
          <w:szCs w:val="28"/>
          <w:lang w:val="cs-CZ"/>
        </w:rPr>
        <w:lastRenderedPageBreak/>
        <w:t>Závěry</w:t>
      </w:r>
      <w:bookmarkEnd w:id="63"/>
    </w:p>
    <w:p w:rsidR="004D1AB8" w:rsidRPr="00EF607D" w:rsidRDefault="004D1AB8" w:rsidP="004D1AB8">
      <w:pPr>
        <w:rPr>
          <w:sz w:val="20"/>
          <w:szCs w:val="20"/>
        </w:rPr>
      </w:pPr>
      <w:r w:rsidRPr="00EF607D">
        <w:rPr>
          <w:sz w:val="20"/>
          <w:szCs w:val="20"/>
        </w:rPr>
        <w:t xml:space="preserve">Jednou z cest zlepšení ekonomické situace municipalit je lepší hospodaření s </w:t>
      </w:r>
      <w:r w:rsidR="00A2368A" w:rsidRPr="00EF607D">
        <w:rPr>
          <w:sz w:val="20"/>
          <w:szCs w:val="20"/>
        </w:rPr>
        <w:t>jejich</w:t>
      </w:r>
      <w:r w:rsidRPr="00EF607D">
        <w:rPr>
          <w:sz w:val="20"/>
          <w:szCs w:val="20"/>
        </w:rPr>
        <w:t xml:space="preserve"> majetkem.</w:t>
      </w:r>
    </w:p>
    <w:p w:rsidR="004D1AB8" w:rsidRPr="00EF607D" w:rsidRDefault="004D1AB8" w:rsidP="004D1AB8">
      <w:pPr>
        <w:rPr>
          <w:sz w:val="20"/>
          <w:szCs w:val="20"/>
        </w:rPr>
      </w:pPr>
      <w:r w:rsidRPr="00EF607D">
        <w:rPr>
          <w:sz w:val="20"/>
          <w:szCs w:val="20"/>
        </w:rPr>
        <w:t>Město musí hledat příjmové zdroje. Jako první možnost se nabízí efektivní hospodaření se svým majetkem. Pro zabezpečování činností města v delším časovém horizontu je významný především jeho dlouhodobý majetek. Majetek je zpravidla vymezován jako bohatství, neboť má hodnotu, má tržní cenu. Různé druhy majetku mohou být směněny na peněžní formu majetku nebo za soubor vlastnických práv, což je důležité věcné právo.</w:t>
      </w:r>
    </w:p>
    <w:p w:rsidR="004D1AB8" w:rsidRPr="00EF607D" w:rsidRDefault="004D1AB8" w:rsidP="004D1AB8">
      <w:pPr>
        <w:rPr>
          <w:sz w:val="20"/>
          <w:szCs w:val="20"/>
        </w:rPr>
      </w:pPr>
      <w:r w:rsidRPr="00EF607D">
        <w:rPr>
          <w:sz w:val="20"/>
          <w:szCs w:val="20"/>
        </w:rPr>
        <w:t xml:space="preserve">Z </w:t>
      </w:r>
      <w:r w:rsidR="00A2368A" w:rsidRPr="00EF607D">
        <w:rPr>
          <w:sz w:val="20"/>
          <w:szCs w:val="20"/>
        </w:rPr>
        <w:t>hlediska ovlivňování bonity municipality</w:t>
      </w:r>
      <w:r w:rsidRPr="00EF607D">
        <w:rPr>
          <w:sz w:val="20"/>
          <w:szCs w:val="20"/>
        </w:rPr>
        <w:t xml:space="preserve"> je významné jaký majetek město vlastní a</w:t>
      </w:r>
      <w:r w:rsidR="001E204C">
        <w:rPr>
          <w:sz w:val="20"/>
          <w:szCs w:val="20"/>
        </w:rPr>
        <w:t> </w:t>
      </w:r>
      <w:r w:rsidRPr="00EF607D">
        <w:rPr>
          <w:sz w:val="20"/>
          <w:szCs w:val="20"/>
        </w:rPr>
        <w:t>k</w:t>
      </w:r>
      <w:r w:rsidR="001E204C">
        <w:rPr>
          <w:sz w:val="20"/>
          <w:szCs w:val="20"/>
        </w:rPr>
        <w:t> </w:t>
      </w:r>
      <w:r w:rsidRPr="00EF607D">
        <w:rPr>
          <w:sz w:val="20"/>
          <w:szCs w:val="20"/>
        </w:rPr>
        <w:t>čemu je využíván, jaké je jeho ocenění a jeho členění. Prostřednictvím majetku a</w:t>
      </w:r>
      <w:r w:rsidR="001E204C">
        <w:rPr>
          <w:sz w:val="20"/>
          <w:szCs w:val="20"/>
        </w:rPr>
        <w:t> </w:t>
      </w:r>
      <w:r w:rsidRPr="00EF607D">
        <w:rPr>
          <w:sz w:val="20"/>
          <w:szCs w:val="20"/>
        </w:rPr>
        <w:t>příslušných výnosů z hosp</w:t>
      </w:r>
      <w:r w:rsidR="00A2368A" w:rsidRPr="00EF607D">
        <w:rPr>
          <w:sz w:val="20"/>
          <w:szCs w:val="20"/>
        </w:rPr>
        <w:t>odaření s majetkem může město</w:t>
      </w:r>
      <w:r w:rsidRPr="00EF607D">
        <w:rPr>
          <w:sz w:val="20"/>
          <w:szCs w:val="20"/>
        </w:rPr>
        <w:t xml:space="preserve"> ovlivňovat rychlost a úroveň svého ekonomického a sociálního rozvoje.</w:t>
      </w:r>
    </w:p>
    <w:p w:rsidR="004D1AB8" w:rsidRPr="00EF607D" w:rsidRDefault="004D1AB8" w:rsidP="004D1AB8">
      <w:pPr>
        <w:rPr>
          <w:sz w:val="20"/>
          <w:szCs w:val="20"/>
        </w:rPr>
      </w:pPr>
      <w:r w:rsidRPr="00EF607D">
        <w:rPr>
          <w:sz w:val="20"/>
          <w:szCs w:val="20"/>
        </w:rPr>
        <w:t>K tomu, aby město využívalo svůj majetek co nejefektivněji je zapotřebí v prvé řadě vytvořit „teoretické“ podmínky pro procesy, týkající se hospodaření s majetkem. To ve svém důsledku znamená aktualizovat resp. vytvořit nové legislativní dokumenty (směrnice), týkající se této problematiky. Je třeba si uvědomit, že prioritní</w:t>
      </w:r>
      <w:r w:rsidR="00A2368A" w:rsidRPr="00EF607D">
        <w:rPr>
          <w:sz w:val="20"/>
          <w:szCs w:val="20"/>
        </w:rPr>
        <w:t xml:space="preserve"> a zároveň nejvíce problematické</w:t>
      </w:r>
      <w:r w:rsidRPr="00EF607D">
        <w:rPr>
          <w:sz w:val="20"/>
          <w:szCs w:val="20"/>
        </w:rPr>
        <w:t xml:space="preserve"> jsou budovy, které lze rozčlenit na byty, </w:t>
      </w:r>
      <w:r w:rsidR="00A2368A" w:rsidRPr="00EF607D">
        <w:rPr>
          <w:sz w:val="20"/>
          <w:szCs w:val="20"/>
        </w:rPr>
        <w:t>nebytové prostory</w:t>
      </w:r>
      <w:r w:rsidRPr="00EF607D">
        <w:rPr>
          <w:sz w:val="20"/>
          <w:szCs w:val="20"/>
        </w:rPr>
        <w:t xml:space="preserve"> a</w:t>
      </w:r>
      <w:r w:rsidR="001E204C">
        <w:rPr>
          <w:sz w:val="20"/>
          <w:szCs w:val="20"/>
        </w:rPr>
        <w:t> </w:t>
      </w:r>
      <w:r w:rsidRPr="00EF607D">
        <w:rPr>
          <w:sz w:val="20"/>
          <w:szCs w:val="20"/>
        </w:rPr>
        <w:t xml:space="preserve">ostatní budovy. V tomto případě pak </w:t>
      </w:r>
      <w:r w:rsidRPr="00EF607D">
        <w:rPr>
          <w:b/>
          <w:sz w:val="20"/>
          <w:szCs w:val="20"/>
        </w:rPr>
        <w:t>směrnice</w:t>
      </w:r>
      <w:r w:rsidRPr="00EF607D">
        <w:rPr>
          <w:sz w:val="20"/>
          <w:szCs w:val="20"/>
        </w:rPr>
        <w:t xml:space="preserve"> musí začleňovat následující procesy:</w:t>
      </w:r>
    </w:p>
    <w:p w:rsidR="004D1AB8" w:rsidRPr="00EF607D" w:rsidRDefault="004D1AB8" w:rsidP="004D1AB8">
      <w:pPr>
        <w:pStyle w:val="Odstavecseseznamem"/>
        <w:numPr>
          <w:ilvl w:val="0"/>
          <w:numId w:val="33"/>
        </w:numPr>
        <w:spacing w:before="120"/>
        <w:rPr>
          <w:sz w:val="20"/>
          <w:szCs w:val="20"/>
        </w:rPr>
      </w:pPr>
      <w:r w:rsidRPr="00EF607D">
        <w:rPr>
          <w:sz w:val="20"/>
          <w:szCs w:val="20"/>
        </w:rPr>
        <w:t>rozčlenění majetku</w:t>
      </w:r>
    </w:p>
    <w:p w:rsidR="004D1AB8" w:rsidRPr="00EF607D" w:rsidRDefault="004D1AB8" w:rsidP="004D1AB8">
      <w:pPr>
        <w:pStyle w:val="Odstavecseseznamem"/>
        <w:numPr>
          <w:ilvl w:val="0"/>
          <w:numId w:val="33"/>
        </w:numPr>
        <w:spacing w:before="120"/>
        <w:rPr>
          <w:sz w:val="20"/>
          <w:szCs w:val="20"/>
        </w:rPr>
      </w:pPr>
      <w:r w:rsidRPr="00EF607D">
        <w:rPr>
          <w:sz w:val="20"/>
          <w:szCs w:val="20"/>
        </w:rPr>
        <w:t>koncepce nakládání s byty</w:t>
      </w:r>
    </w:p>
    <w:p w:rsidR="004D1AB8" w:rsidRPr="00EF607D" w:rsidRDefault="004D1AB8" w:rsidP="004D1AB8">
      <w:pPr>
        <w:pStyle w:val="Odstavecseseznamem"/>
        <w:numPr>
          <w:ilvl w:val="0"/>
          <w:numId w:val="33"/>
        </w:numPr>
        <w:spacing w:before="120"/>
        <w:rPr>
          <w:sz w:val="20"/>
          <w:szCs w:val="20"/>
        </w:rPr>
      </w:pPr>
      <w:r w:rsidRPr="00EF607D">
        <w:rPr>
          <w:sz w:val="20"/>
          <w:szCs w:val="20"/>
        </w:rPr>
        <w:t>pronájmy bytů</w:t>
      </w:r>
    </w:p>
    <w:p w:rsidR="004D1AB8" w:rsidRPr="00EF607D" w:rsidRDefault="004D1AB8" w:rsidP="004D1AB8">
      <w:pPr>
        <w:pStyle w:val="Odstavecseseznamem"/>
        <w:numPr>
          <w:ilvl w:val="0"/>
          <w:numId w:val="33"/>
        </w:numPr>
        <w:spacing w:before="120"/>
        <w:rPr>
          <w:sz w:val="20"/>
          <w:szCs w:val="20"/>
        </w:rPr>
      </w:pPr>
      <w:r w:rsidRPr="00EF607D">
        <w:rPr>
          <w:sz w:val="20"/>
          <w:szCs w:val="20"/>
        </w:rPr>
        <w:t>pravidla pro provedení oprav a údržby v bytech</w:t>
      </w:r>
    </w:p>
    <w:p w:rsidR="004D1AB8" w:rsidRPr="00EF607D" w:rsidRDefault="004D1AB8" w:rsidP="004D1AB8">
      <w:pPr>
        <w:pStyle w:val="Odstavecseseznamem"/>
        <w:numPr>
          <w:ilvl w:val="0"/>
          <w:numId w:val="33"/>
        </w:numPr>
        <w:spacing w:before="120"/>
        <w:rPr>
          <w:sz w:val="20"/>
          <w:szCs w:val="20"/>
        </w:rPr>
      </w:pPr>
      <w:r w:rsidRPr="00EF607D">
        <w:rPr>
          <w:sz w:val="20"/>
          <w:szCs w:val="20"/>
        </w:rPr>
        <w:t>cenová politika pronájmu bytů</w:t>
      </w:r>
      <w:r w:rsidR="0069576B" w:rsidRPr="00EF607D">
        <w:rPr>
          <w:sz w:val="20"/>
          <w:szCs w:val="20"/>
        </w:rPr>
        <w:t xml:space="preserve"> a</w:t>
      </w:r>
      <w:r w:rsidRPr="00EF607D">
        <w:rPr>
          <w:sz w:val="20"/>
          <w:szCs w:val="20"/>
        </w:rPr>
        <w:t xml:space="preserve"> nebytových prostor</w:t>
      </w:r>
    </w:p>
    <w:p w:rsidR="004D1AB8" w:rsidRPr="00EF607D" w:rsidRDefault="004D1AB8" w:rsidP="004D1AB8">
      <w:pPr>
        <w:pStyle w:val="Odstavecseseznamem"/>
        <w:numPr>
          <w:ilvl w:val="0"/>
          <w:numId w:val="33"/>
        </w:numPr>
        <w:spacing w:before="120"/>
        <w:rPr>
          <w:sz w:val="20"/>
          <w:szCs w:val="20"/>
        </w:rPr>
      </w:pPr>
      <w:r w:rsidRPr="00EF607D">
        <w:rPr>
          <w:sz w:val="20"/>
          <w:szCs w:val="20"/>
        </w:rPr>
        <w:t>vzory nájemních smluv</w:t>
      </w:r>
    </w:p>
    <w:p w:rsidR="004D1AB8" w:rsidRPr="00EF607D" w:rsidRDefault="004D1AB8" w:rsidP="004D1AB8">
      <w:pPr>
        <w:pStyle w:val="Odstavecseseznamem"/>
        <w:numPr>
          <w:ilvl w:val="0"/>
          <w:numId w:val="33"/>
        </w:numPr>
        <w:spacing w:before="120"/>
        <w:rPr>
          <w:sz w:val="20"/>
          <w:szCs w:val="20"/>
        </w:rPr>
      </w:pPr>
      <w:r w:rsidRPr="00EF607D">
        <w:rPr>
          <w:sz w:val="20"/>
          <w:szCs w:val="20"/>
        </w:rPr>
        <w:t>pasport majetku (udržovaný v aktuálním stavu)</w:t>
      </w:r>
    </w:p>
    <w:p w:rsidR="004D1AB8" w:rsidRPr="00EF607D" w:rsidRDefault="004D1AB8" w:rsidP="004D1AB8">
      <w:pPr>
        <w:pStyle w:val="Odstavecseseznamem"/>
        <w:numPr>
          <w:ilvl w:val="0"/>
          <w:numId w:val="33"/>
        </w:numPr>
        <w:spacing w:before="120"/>
        <w:rPr>
          <w:sz w:val="20"/>
          <w:szCs w:val="20"/>
        </w:rPr>
      </w:pPr>
      <w:r w:rsidRPr="00EF607D">
        <w:rPr>
          <w:sz w:val="20"/>
          <w:szCs w:val="20"/>
        </w:rPr>
        <w:t>plán obnovy majetku</w:t>
      </w:r>
    </w:p>
    <w:p w:rsidR="004D1AB8" w:rsidRPr="00EF607D" w:rsidRDefault="004D1AB8" w:rsidP="004D1AB8">
      <w:pPr>
        <w:pStyle w:val="Odstavecseseznamem"/>
        <w:numPr>
          <w:ilvl w:val="0"/>
          <w:numId w:val="33"/>
        </w:numPr>
        <w:spacing w:before="120"/>
        <w:rPr>
          <w:sz w:val="20"/>
          <w:szCs w:val="20"/>
        </w:rPr>
      </w:pPr>
      <w:r w:rsidRPr="00EF607D">
        <w:rPr>
          <w:sz w:val="20"/>
          <w:szCs w:val="20"/>
        </w:rPr>
        <w:t>statut fondu správy majetku</w:t>
      </w:r>
    </w:p>
    <w:p w:rsidR="001E204C" w:rsidRDefault="001E204C" w:rsidP="004D1AB8">
      <w:pPr>
        <w:rPr>
          <w:sz w:val="20"/>
          <w:szCs w:val="20"/>
        </w:rPr>
      </w:pPr>
    </w:p>
    <w:p w:rsidR="004D1AB8" w:rsidRPr="00EF607D" w:rsidRDefault="004D1AB8" w:rsidP="004D1AB8">
      <w:pPr>
        <w:rPr>
          <w:sz w:val="20"/>
          <w:szCs w:val="20"/>
        </w:rPr>
      </w:pPr>
      <w:r w:rsidRPr="00EF607D">
        <w:rPr>
          <w:sz w:val="20"/>
          <w:szCs w:val="20"/>
        </w:rPr>
        <w:t>Jedním z nejdůležitějších kroků je rozčlenění majetku.</w:t>
      </w:r>
      <w:r w:rsidR="001E204C">
        <w:rPr>
          <w:sz w:val="20"/>
          <w:szCs w:val="20"/>
        </w:rPr>
        <w:t xml:space="preserve"> </w:t>
      </w:r>
      <w:r w:rsidRPr="00EF607D">
        <w:rPr>
          <w:sz w:val="20"/>
          <w:szCs w:val="20"/>
        </w:rPr>
        <w:t>Z hlediska „nutnosti vlastnictví“ dělíme majetek na:</w:t>
      </w:r>
    </w:p>
    <w:p w:rsidR="004D1AB8" w:rsidRPr="00EF607D" w:rsidRDefault="004D1AB8" w:rsidP="004D1AB8">
      <w:pPr>
        <w:pStyle w:val="Odstavecseseznamem"/>
        <w:numPr>
          <w:ilvl w:val="0"/>
          <w:numId w:val="35"/>
        </w:numPr>
        <w:spacing w:before="120"/>
        <w:rPr>
          <w:sz w:val="20"/>
          <w:szCs w:val="20"/>
        </w:rPr>
      </w:pPr>
      <w:r w:rsidRPr="00EF607D">
        <w:rPr>
          <w:sz w:val="20"/>
          <w:szCs w:val="20"/>
        </w:rPr>
        <w:t>Nezbytný majetek – majetek spojený s veřejnou správou a s činnostmi, které obce musí poskytovat ze zákona.</w:t>
      </w:r>
    </w:p>
    <w:p w:rsidR="004D1AB8" w:rsidRPr="00EF607D" w:rsidRDefault="004D1AB8" w:rsidP="004D1AB8">
      <w:pPr>
        <w:pStyle w:val="Odstavecseseznamem"/>
        <w:numPr>
          <w:ilvl w:val="0"/>
          <w:numId w:val="35"/>
        </w:numPr>
        <w:spacing w:before="120"/>
        <w:rPr>
          <w:sz w:val="20"/>
          <w:szCs w:val="20"/>
        </w:rPr>
      </w:pPr>
      <w:r w:rsidRPr="00EF607D">
        <w:rPr>
          <w:sz w:val="20"/>
          <w:szCs w:val="20"/>
        </w:rPr>
        <w:t>Zbytný majetek – nejčastěji jde o majetek sloužící k podnikání. U majetku sloužícího k produkci veřejných statků je nutno zvažovat, které služby si obec přeje svým občanům poskytovat a co by se dalo lépe zajistit jiným způsobem.</w:t>
      </w:r>
    </w:p>
    <w:p w:rsidR="001E204C" w:rsidRDefault="001E204C" w:rsidP="004D1AB8">
      <w:pPr>
        <w:rPr>
          <w:sz w:val="20"/>
          <w:szCs w:val="20"/>
        </w:rPr>
      </w:pPr>
    </w:p>
    <w:p w:rsidR="004D1AB8" w:rsidRPr="00EF607D" w:rsidRDefault="004D1AB8" w:rsidP="004D1AB8">
      <w:pPr>
        <w:rPr>
          <w:sz w:val="20"/>
          <w:szCs w:val="20"/>
        </w:rPr>
      </w:pPr>
      <w:r w:rsidRPr="00EF607D">
        <w:rPr>
          <w:sz w:val="20"/>
          <w:szCs w:val="20"/>
        </w:rPr>
        <w:t>Nejdůležitější je nalezení majetku, který obec zatěžuje a který si obec ponechává bez racionálního důvodu. V případě ziskovosti zbytného majetku je třeba se vyvarovat ukvapeného prodeje, významnou roli hraje také likvidita majetku. Nelze opom</w:t>
      </w:r>
      <w:r w:rsidR="00A2368A" w:rsidRPr="00EF607D">
        <w:rPr>
          <w:sz w:val="20"/>
          <w:szCs w:val="20"/>
        </w:rPr>
        <w:t>e</w:t>
      </w:r>
      <w:r w:rsidRPr="00EF607D">
        <w:rPr>
          <w:sz w:val="20"/>
          <w:szCs w:val="20"/>
        </w:rPr>
        <w:t>nout i</w:t>
      </w:r>
      <w:r w:rsidR="00065AB3">
        <w:rPr>
          <w:sz w:val="20"/>
          <w:szCs w:val="20"/>
        </w:rPr>
        <w:t> </w:t>
      </w:r>
      <w:r w:rsidRPr="00EF607D">
        <w:rPr>
          <w:sz w:val="20"/>
          <w:szCs w:val="20"/>
        </w:rPr>
        <w:t>strategické hledisko, zejména v případě pozemků.</w:t>
      </w:r>
    </w:p>
    <w:p w:rsidR="004D1AB8" w:rsidRPr="00EF607D" w:rsidRDefault="004D1AB8" w:rsidP="004D1AB8">
      <w:pPr>
        <w:rPr>
          <w:sz w:val="20"/>
          <w:szCs w:val="20"/>
        </w:rPr>
      </w:pPr>
      <w:r w:rsidRPr="00EF607D">
        <w:rPr>
          <w:sz w:val="20"/>
          <w:szCs w:val="20"/>
        </w:rPr>
        <w:t>Toto členění nabývá stále více na významu, protože základním předpokladem efektivního nakládání s majetkem je zodpovězení otázek: jaký majetek mám, jakou má hodnotu a</w:t>
      </w:r>
      <w:r w:rsidR="00065AB3">
        <w:rPr>
          <w:sz w:val="20"/>
          <w:szCs w:val="20"/>
        </w:rPr>
        <w:t> </w:t>
      </w:r>
      <w:r w:rsidRPr="00EF607D">
        <w:rPr>
          <w:sz w:val="20"/>
          <w:szCs w:val="20"/>
        </w:rPr>
        <w:t>k čemu ho využívám, skutečně ho musím vlastnit (pokud ano, tak proč) je ziskový či ztrátový, je prodejný apod.</w:t>
      </w:r>
    </w:p>
    <w:p w:rsidR="004D1AB8" w:rsidRPr="00EF607D" w:rsidRDefault="004D1AB8" w:rsidP="004D1AB8">
      <w:pPr>
        <w:rPr>
          <w:sz w:val="20"/>
          <w:szCs w:val="20"/>
        </w:rPr>
      </w:pPr>
      <w:r w:rsidRPr="00EF607D">
        <w:rPr>
          <w:sz w:val="20"/>
          <w:szCs w:val="20"/>
        </w:rPr>
        <w:t xml:space="preserve">Majetek neupotřebitelný lze definovat jako majetek, kde u věci dojde ke ztrátě technických a funkčních vlastností. Postupná ztráta těchto vlastností je zpravidla spojena s užíváním věcí po určitou dobu. Okamžitá ztráta technických a funkčních vlastností pak je obvykle následkem jednorázového poškození věci (jednáním osob nebo třeba živelní událostí). Od této tzv. fyzické neupotřebitelnosti je třeba odlišit tzv. neupotřebitelnost </w:t>
      </w:r>
      <w:r w:rsidRPr="00EF607D">
        <w:rPr>
          <w:sz w:val="20"/>
          <w:szCs w:val="20"/>
        </w:rPr>
        <w:lastRenderedPageBreak/>
        <w:t xml:space="preserve">morální. Tou se rozumí postupné zastarání věci, které sice zůstanou technické a funkční vlastnosti zachovány, ale zastarají, takže daná věc stejně nemůže sloužit svému účelu. Variantou morální neupotřebitelnosti je také zastaráním vlastností věci vyvolaná </w:t>
      </w:r>
      <w:r w:rsidRPr="00EF607D">
        <w:rPr>
          <w:b/>
          <w:sz w:val="20"/>
          <w:szCs w:val="20"/>
        </w:rPr>
        <w:t>nepřiměřenou nákladovostí</w:t>
      </w:r>
      <w:r w:rsidRPr="00EF607D">
        <w:rPr>
          <w:sz w:val="20"/>
          <w:szCs w:val="20"/>
        </w:rPr>
        <w:t xml:space="preserve"> jejího provozu.</w:t>
      </w:r>
    </w:p>
    <w:p w:rsidR="004D1AB8" w:rsidRPr="00EF607D" w:rsidRDefault="004D1AB8" w:rsidP="004D1AB8">
      <w:pPr>
        <w:rPr>
          <w:sz w:val="20"/>
          <w:szCs w:val="20"/>
        </w:rPr>
      </w:pPr>
      <w:r w:rsidRPr="00EF607D">
        <w:rPr>
          <w:sz w:val="20"/>
          <w:szCs w:val="20"/>
        </w:rPr>
        <w:t>Podrobnější členění majetku pak slouží k vytipování nepotřebného majetku k prodeji či jiné možnosti města se majetku zbavit (převod na jinou osobu, vyřazení, likvidac</w:t>
      </w:r>
      <w:r w:rsidR="00B84CCA">
        <w:rPr>
          <w:sz w:val="20"/>
          <w:szCs w:val="20"/>
        </w:rPr>
        <w:t>e</w:t>
      </w:r>
      <w:r w:rsidRPr="00EF607D">
        <w:rPr>
          <w:sz w:val="20"/>
          <w:szCs w:val="20"/>
        </w:rPr>
        <w:t xml:space="preserve"> apod.</w:t>
      </w:r>
      <w:r w:rsidR="00DF7DA5" w:rsidRPr="00EF607D">
        <w:rPr>
          <w:sz w:val="20"/>
          <w:szCs w:val="20"/>
        </w:rPr>
        <w:t xml:space="preserve"> – viz kapitola 3 Hospodaření s majetkem obce</w:t>
      </w:r>
      <w:r w:rsidRPr="00EF607D">
        <w:rPr>
          <w:sz w:val="20"/>
          <w:szCs w:val="20"/>
        </w:rPr>
        <w:t>)</w:t>
      </w:r>
      <w:r w:rsidR="00B84CCA">
        <w:rPr>
          <w:sz w:val="20"/>
          <w:szCs w:val="20"/>
        </w:rPr>
        <w:t>.</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K rozhodnutí o prodeji nemovitosti může vést několik skutečností:</w:t>
      </w:r>
    </w:p>
    <w:p w:rsidR="004D1AB8" w:rsidRPr="00EF607D" w:rsidRDefault="004D1AB8" w:rsidP="004D1AB8">
      <w:pPr>
        <w:pStyle w:val="Odstavecseseznamem"/>
        <w:numPr>
          <w:ilvl w:val="0"/>
          <w:numId w:val="34"/>
        </w:numPr>
        <w:spacing w:before="120"/>
        <w:rPr>
          <w:sz w:val="20"/>
          <w:szCs w:val="20"/>
        </w:rPr>
      </w:pPr>
      <w:r w:rsidRPr="00EF607D">
        <w:rPr>
          <w:sz w:val="20"/>
          <w:szCs w:val="20"/>
        </w:rPr>
        <w:t>nemovitost by mohla být využívána, ale je ve špatném stavu a město nemá peníze na její opravu;</w:t>
      </w:r>
    </w:p>
    <w:p w:rsidR="004D1AB8" w:rsidRPr="00EF607D" w:rsidRDefault="004D1AB8" w:rsidP="004D1AB8">
      <w:pPr>
        <w:pStyle w:val="Odstavecseseznamem"/>
        <w:numPr>
          <w:ilvl w:val="0"/>
          <w:numId w:val="34"/>
        </w:numPr>
        <w:spacing w:before="120"/>
        <w:rPr>
          <w:sz w:val="20"/>
          <w:szCs w:val="20"/>
        </w:rPr>
      </w:pPr>
      <w:r w:rsidRPr="00EF607D">
        <w:rPr>
          <w:sz w:val="20"/>
          <w:szCs w:val="20"/>
        </w:rPr>
        <w:t>nemovitost je ve špatném stavu, pro město není žádným přínosem;</w:t>
      </w:r>
    </w:p>
    <w:p w:rsidR="004D1AB8" w:rsidRPr="00EF607D" w:rsidRDefault="004D1AB8" w:rsidP="004D1AB8">
      <w:pPr>
        <w:pStyle w:val="Odstavecseseznamem"/>
        <w:numPr>
          <w:ilvl w:val="0"/>
          <w:numId w:val="34"/>
        </w:numPr>
        <w:spacing w:before="120"/>
        <w:rPr>
          <w:sz w:val="20"/>
          <w:szCs w:val="20"/>
        </w:rPr>
      </w:pPr>
      <w:r w:rsidRPr="00EF607D">
        <w:rPr>
          <w:sz w:val="20"/>
          <w:szCs w:val="20"/>
        </w:rPr>
        <w:t>nemovitost je v dobrém stavu, město ji však nevyužívá a její případný prodej by městu přinesl finanční prostředky.</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Ke správnému rozčlenění majetku slouží Pasport majetku, který by měl obsahovat minimálně tyto údaje:</w:t>
      </w:r>
    </w:p>
    <w:p w:rsidR="004D1AB8" w:rsidRPr="00EF607D" w:rsidRDefault="004D1AB8" w:rsidP="004D1AB8">
      <w:pPr>
        <w:pStyle w:val="Odstavecseseznamem"/>
        <w:numPr>
          <w:ilvl w:val="0"/>
          <w:numId w:val="37"/>
        </w:numPr>
        <w:spacing w:before="120"/>
        <w:rPr>
          <w:sz w:val="20"/>
          <w:szCs w:val="20"/>
        </w:rPr>
      </w:pPr>
      <w:r w:rsidRPr="00EF607D">
        <w:rPr>
          <w:sz w:val="20"/>
          <w:szCs w:val="20"/>
        </w:rPr>
        <w:t>název objektu, jeho identifikaci</w:t>
      </w:r>
    </w:p>
    <w:p w:rsidR="004D1AB8" w:rsidRPr="00EF607D" w:rsidRDefault="004D1AB8" w:rsidP="004D1AB8">
      <w:pPr>
        <w:pStyle w:val="Odstavecseseznamem"/>
        <w:numPr>
          <w:ilvl w:val="0"/>
          <w:numId w:val="37"/>
        </w:numPr>
        <w:spacing w:before="120"/>
        <w:rPr>
          <w:sz w:val="20"/>
          <w:szCs w:val="20"/>
        </w:rPr>
      </w:pPr>
      <w:r w:rsidRPr="00EF607D">
        <w:rPr>
          <w:sz w:val="20"/>
          <w:szCs w:val="20"/>
        </w:rPr>
        <w:t>umístění objektu</w:t>
      </w:r>
    </w:p>
    <w:p w:rsidR="004D1AB8" w:rsidRPr="00EF607D" w:rsidRDefault="004D1AB8" w:rsidP="004D1AB8">
      <w:pPr>
        <w:pStyle w:val="Odstavecseseznamem"/>
        <w:numPr>
          <w:ilvl w:val="0"/>
          <w:numId w:val="37"/>
        </w:numPr>
        <w:spacing w:before="120"/>
        <w:rPr>
          <w:sz w:val="20"/>
          <w:szCs w:val="20"/>
        </w:rPr>
      </w:pPr>
      <w:r w:rsidRPr="00EF607D">
        <w:rPr>
          <w:sz w:val="20"/>
          <w:szCs w:val="20"/>
        </w:rPr>
        <w:t>rok pořízení/výstavby</w:t>
      </w:r>
    </w:p>
    <w:p w:rsidR="004D1AB8" w:rsidRPr="00EF607D" w:rsidRDefault="004D1AB8" w:rsidP="004D1AB8">
      <w:pPr>
        <w:pStyle w:val="Odstavecseseznamem"/>
        <w:numPr>
          <w:ilvl w:val="0"/>
          <w:numId w:val="37"/>
        </w:numPr>
        <w:spacing w:before="120"/>
        <w:rPr>
          <w:sz w:val="20"/>
          <w:szCs w:val="20"/>
        </w:rPr>
      </w:pPr>
      <w:r w:rsidRPr="00EF607D">
        <w:rPr>
          <w:sz w:val="20"/>
          <w:szCs w:val="20"/>
        </w:rPr>
        <w:t>typ stavby (členění včetně bližšího určení – např.: sociální oblast – zdravotnictví)</w:t>
      </w:r>
    </w:p>
    <w:p w:rsidR="004D1AB8" w:rsidRPr="00EF607D" w:rsidRDefault="004D1AB8" w:rsidP="004D1AB8">
      <w:pPr>
        <w:pStyle w:val="Odstavecseseznamem"/>
        <w:numPr>
          <w:ilvl w:val="0"/>
          <w:numId w:val="37"/>
        </w:numPr>
        <w:spacing w:before="120"/>
        <w:rPr>
          <w:sz w:val="20"/>
          <w:szCs w:val="20"/>
        </w:rPr>
      </w:pPr>
      <w:r w:rsidRPr="00EF607D">
        <w:rPr>
          <w:sz w:val="20"/>
          <w:szCs w:val="20"/>
        </w:rPr>
        <w:t>zastavěná plocha</w:t>
      </w:r>
    </w:p>
    <w:p w:rsidR="004D1AB8" w:rsidRPr="00EF607D" w:rsidRDefault="004D1AB8" w:rsidP="004D1AB8">
      <w:pPr>
        <w:pStyle w:val="Odstavecseseznamem"/>
        <w:numPr>
          <w:ilvl w:val="0"/>
          <w:numId w:val="37"/>
        </w:numPr>
        <w:spacing w:before="120"/>
        <w:rPr>
          <w:sz w:val="20"/>
          <w:szCs w:val="20"/>
        </w:rPr>
      </w:pPr>
      <w:r w:rsidRPr="00EF607D">
        <w:rPr>
          <w:sz w:val="20"/>
          <w:szCs w:val="20"/>
        </w:rPr>
        <w:t>účetní hodnota</w:t>
      </w:r>
    </w:p>
    <w:p w:rsidR="004D1AB8" w:rsidRPr="00EF607D" w:rsidRDefault="004D1AB8" w:rsidP="004D1AB8">
      <w:pPr>
        <w:pStyle w:val="Odstavecseseznamem"/>
        <w:numPr>
          <w:ilvl w:val="0"/>
          <w:numId w:val="37"/>
        </w:numPr>
        <w:spacing w:before="120"/>
        <w:rPr>
          <w:sz w:val="20"/>
          <w:szCs w:val="20"/>
        </w:rPr>
      </w:pPr>
      <w:r w:rsidRPr="00EF607D">
        <w:rPr>
          <w:sz w:val="20"/>
          <w:szCs w:val="20"/>
        </w:rPr>
        <w:t>komerční (odhadní) cena</w:t>
      </w:r>
    </w:p>
    <w:p w:rsidR="004D1AB8" w:rsidRPr="00EF607D" w:rsidRDefault="004D1AB8" w:rsidP="004D1AB8">
      <w:pPr>
        <w:pStyle w:val="Odstavecseseznamem"/>
        <w:numPr>
          <w:ilvl w:val="0"/>
          <w:numId w:val="37"/>
        </w:numPr>
        <w:spacing w:before="120"/>
        <w:rPr>
          <w:sz w:val="20"/>
          <w:szCs w:val="20"/>
        </w:rPr>
      </w:pPr>
      <w:r w:rsidRPr="00EF607D">
        <w:rPr>
          <w:sz w:val="20"/>
          <w:szCs w:val="20"/>
        </w:rPr>
        <w:t>provedené rekonstrukce (rok, popis)</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 xml:space="preserve">Vytvoření systému pro efektivní využívání majetku (zde je myšlen </w:t>
      </w:r>
      <w:r w:rsidRPr="00EF607D">
        <w:rPr>
          <w:b/>
          <w:sz w:val="20"/>
          <w:szCs w:val="20"/>
        </w:rPr>
        <w:t>dlouhodobý hmotný majetek</w:t>
      </w:r>
      <w:r w:rsidRPr="00EF607D">
        <w:rPr>
          <w:sz w:val="20"/>
          <w:szCs w:val="20"/>
        </w:rPr>
        <w:t>, který se používá delší dobu a postupně se opotřebovává. Jedná se o stavby, které jsou vlastněny městem a jejíž obnovu město zajišťuje prostřednictvím svého rozpočtu) musí být v souladu se záměry zastupitelstva, které tento navržený systém odsouhlasí. V konečném důsledku tento krok vytvoří prostor pro systematicky zodpovědný přístup k majetku města, zajistí finance i proces řízené systematické obnovy majetku města. Odsouhlasením tohoto systému, důsledným uplatňováním jeho základních principů a udržení jeho funkčnosti bude zajištěna udržitelnost a zejména efektivní funkčnost jak stávajícího majetku, tak i majetku, který bude vybudován v budoucích letech.</w:t>
      </w:r>
    </w:p>
    <w:p w:rsidR="004D1AB8" w:rsidRPr="00EF607D" w:rsidRDefault="004D1AB8" w:rsidP="004D1AB8">
      <w:pPr>
        <w:rPr>
          <w:sz w:val="20"/>
          <w:szCs w:val="20"/>
        </w:rPr>
      </w:pPr>
      <w:r w:rsidRPr="00EF607D">
        <w:rPr>
          <w:sz w:val="20"/>
          <w:szCs w:val="20"/>
        </w:rPr>
        <w:t>Základem systému je vytvořit Plán obnovy majetku města.</w:t>
      </w:r>
    </w:p>
    <w:p w:rsidR="004D1AB8" w:rsidRPr="00EF607D" w:rsidRDefault="004D1AB8" w:rsidP="004D1AB8">
      <w:pPr>
        <w:rPr>
          <w:sz w:val="20"/>
          <w:szCs w:val="20"/>
        </w:rPr>
      </w:pPr>
      <w:r w:rsidRPr="00EF607D">
        <w:rPr>
          <w:sz w:val="20"/>
          <w:szCs w:val="20"/>
        </w:rPr>
        <w:t xml:space="preserve">K již vytvořenému </w:t>
      </w:r>
      <w:r w:rsidRPr="00EF607D">
        <w:rPr>
          <w:b/>
          <w:sz w:val="20"/>
          <w:szCs w:val="20"/>
        </w:rPr>
        <w:t>rozčlenění</w:t>
      </w:r>
      <w:r w:rsidRPr="00EF607D">
        <w:rPr>
          <w:sz w:val="20"/>
          <w:szCs w:val="20"/>
        </w:rPr>
        <w:t xml:space="preserve"> majetku, ze kterého by mělo být patrná jeho potřebnost jak pro město tak i případně pro občany, je důležité </w:t>
      </w:r>
      <w:r w:rsidRPr="00EF607D">
        <w:rPr>
          <w:b/>
          <w:sz w:val="20"/>
          <w:szCs w:val="20"/>
        </w:rPr>
        <w:t xml:space="preserve">zjištění </w:t>
      </w:r>
      <w:r w:rsidRPr="00EF607D">
        <w:rPr>
          <w:sz w:val="20"/>
          <w:szCs w:val="20"/>
        </w:rPr>
        <w:t xml:space="preserve">jeho stavu a také provozní </w:t>
      </w:r>
      <w:r w:rsidRPr="00EF607D">
        <w:rPr>
          <w:b/>
          <w:sz w:val="20"/>
          <w:szCs w:val="20"/>
        </w:rPr>
        <w:t>úspora</w:t>
      </w:r>
      <w:r w:rsidRPr="00EF607D">
        <w:rPr>
          <w:sz w:val="20"/>
          <w:szCs w:val="20"/>
        </w:rPr>
        <w:t xml:space="preserve"> při realizaci obnovy – důležité </w:t>
      </w:r>
      <w:r w:rsidR="00B84CCA">
        <w:rPr>
          <w:sz w:val="20"/>
          <w:szCs w:val="20"/>
        </w:rPr>
        <w:t xml:space="preserve">je </w:t>
      </w:r>
      <w:r w:rsidRPr="00EF607D">
        <w:rPr>
          <w:sz w:val="20"/>
          <w:szCs w:val="20"/>
        </w:rPr>
        <w:t>určit prioritu jeho obnovy.</w:t>
      </w:r>
    </w:p>
    <w:p w:rsidR="004D1AB8" w:rsidRPr="00EF607D" w:rsidRDefault="004D1AB8" w:rsidP="004D1AB8">
      <w:pPr>
        <w:rPr>
          <w:sz w:val="20"/>
          <w:szCs w:val="20"/>
        </w:rPr>
      </w:pPr>
      <w:r w:rsidRPr="00EF607D">
        <w:rPr>
          <w:sz w:val="20"/>
          <w:szCs w:val="20"/>
        </w:rPr>
        <w:t>Pro udržení bezvadného stavu majetku města je nutné zajistit finance tak, aby byly využity s plánovitou obnovou majetku města s tím, že nebude ohroženo celkové hospodaření a rozvoj města. Výstupem procesu je navržený Statut fondu, sloužící k obnově majetku města.</w:t>
      </w:r>
    </w:p>
    <w:p w:rsidR="004D1AB8" w:rsidRPr="00EF607D" w:rsidRDefault="004D1AB8" w:rsidP="004D1AB8">
      <w:pPr>
        <w:rPr>
          <w:sz w:val="20"/>
          <w:szCs w:val="20"/>
        </w:rPr>
      </w:pPr>
      <w:r w:rsidRPr="00EF607D">
        <w:rPr>
          <w:sz w:val="20"/>
          <w:szCs w:val="20"/>
        </w:rPr>
        <w:t xml:space="preserve">Město má zřízen Fond správy majetku města. Z tohoto důvodu se nabízí dvě možnosti – částečně změnit tento fond, nebo zřídit fond nový. Pokud by byl doplněn stávající fond, finanční prostředky by byly rozlišeny odlišným číslem </w:t>
      </w:r>
      <w:r w:rsidR="00A2368A" w:rsidRPr="00EF607D">
        <w:rPr>
          <w:sz w:val="20"/>
          <w:szCs w:val="20"/>
        </w:rPr>
        <w:t xml:space="preserve">analytického </w:t>
      </w:r>
      <w:r w:rsidRPr="00EF607D">
        <w:rPr>
          <w:sz w:val="20"/>
          <w:szCs w:val="20"/>
        </w:rPr>
        <w:t>účtu.</w:t>
      </w:r>
    </w:p>
    <w:p w:rsidR="004D1AB8" w:rsidRPr="00EF607D" w:rsidRDefault="00A2368A" w:rsidP="004D1AB8">
      <w:pPr>
        <w:rPr>
          <w:sz w:val="20"/>
          <w:szCs w:val="20"/>
        </w:rPr>
      </w:pPr>
      <w:r w:rsidRPr="00EF607D">
        <w:rPr>
          <w:sz w:val="20"/>
          <w:szCs w:val="20"/>
        </w:rPr>
        <w:t>Příjem</w:t>
      </w:r>
      <w:r w:rsidR="004D1AB8" w:rsidRPr="00EF607D">
        <w:rPr>
          <w:sz w:val="20"/>
          <w:szCs w:val="20"/>
        </w:rPr>
        <w:t xml:space="preserve"> fondu bude tvořen ve výši odpisů na úseku rozpočtového hospodaření majetku evidovaného na účtu 021 – Stavby po odpočtu podílu přijatých transferů, které byly použity při pořizování nebo rekonstrukcích tohoto majetku. Pro město se jedná o cca 16</w:t>
      </w:r>
      <w:r w:rsidR="009C51DC">
        <w:rPr>
          <w:sz w:val="20"/>
          <w:szCs w:val="20"/>
        </w:rPr>
        <w:t> </w:t>
      </w:r>
      <w:r w:rsidR="004D1AB8" w:rsidRPr="00EF607D">
        <w:rPr>
          <w:sz w:val="20"/>
          <w:szCs w:val="20"/>
        </w:rPr>
        <w:t xml:space="preserve">mil. Kč. Město od roku 2015 vynaložilo na opravy majetku v průměru 9,2 mil. Kč. </w:t>
      </w:r>
      <w:r w:rsidR="004D1AB8" w:rsidRPr="00EF607D">
        <w:rPr>
          <w:sz w:val="20"/>
          <w:szCs w:val="20"/>
        </w:rPr>
        <w:lastRenderedPageBreak/>
        <w:t>Přičemž tyto opravy nebyly prováděny plánovitě, ale podle stávajícího stavu a podle finančních možností rozpočtu města.</w:t>
      </w:r>
    </w:p>
    <w:p w:rsidR="004D1AB8" w:rsidRPr="00EF607D" w:rsidRDefault="004D1AB8" w:rsidP="004D1AB8">
      <w:pPr>
        <w:rPr>
          <w:sz w:val="20"/>
          <w:szCs w:val="20"/>
        </w:rPr>
      </w:pPr>
      <w:r w:rsidRPr="00EF607D">
        <w:rPr>
          <w:sz w:val="20"/>
          <w:szCs w:val="20"/>
        </w:rPr>
        <w:t>Vlastní plán obnovy majetku bude obsahovat:</w:t>
      </w:r>
    </w:p>
    <w:p w:rsidR="004D1AB8" w:rsidRPr="00EF607D" w:rsidRDefault="004D1AB8" w:rsidP="004D1AB8">
      <w:pPr>
        <w:pStyle w:val="Odstavecseseznamem"/>
        <w:numPr>
          <w:ilvl w:val="0"/>
          <w:numId w:val="35"/>
        </w:numPr>
        <w:spacing w:before="120"/>
        <w:rPr>
          <w:sz w:val="20"/>
          <w:szCs w:val="20"/>
        </w:rPr>
      </w:pPr>
      <w:r w:rsidRPr="00EF607D">
        <w:rPr>
          <w:sz w:val="20"/>
          <w:szCs w:val="20"/>
        </w:rPr>
        <w:t>identifikační číslo (číslo ORG)</w:t>
      </w:r>
    </w:p>
    <w:p w:rsidR="004D1AB8" w:rsidRPr="00EF607D" w:rsidRDefault="004D1AB8" w:rsidP="004D1AB8">
      <w:pPr>
        <w:pStyle w:val="Odstavecseseznamem"/>
        <w:numPr>
          <w:ilvl w:val="0"/>
          <w:numId w:val="35"/>
        </w:numPr>
        <w:spacing w:before="120"/>
        <w:rPr>
          <w:sz w:val="20"/>
          <w:szCs w:val="20"/>
        </w:rPr>
      </w:pPr>
      <w:r w:rsidRPr="00EF607D">
        <w:rPr>
          <w:sz w:val="20"/>
          <w:szCs w:val="20"/>
        </w:rPr>
        <w:t>název</w:t>
      </w:r>
    </w:p>
    <w:p w:rsidR="004D1AB8" w:rsidRPr="00EF607D" w:rsidRDefault="004D1AB8" w:rsidP="004D1AB8">
      <w:pPr>
        <w:pStyle w:val="Odstavecseseznamem"/>
        <w:numPr>
          <w:ilvl w:val="0"/>
          <w:numId w:val="35"/>
        </w:numPr>
        <w:spacing w:before="120"/>
        <w:rPr>
          <w:sz w:val="20"/>
          <w:szCs w:val="20"/>
        </w:rPr>
      </w:pPr>
      <w:r w:rsidRPr="00EF607D">
        <w:rPr>
          <w:sz w:val="20"/>
          <w:szCs w:val="20"/>
        </w:rPr>
        <w:t>stav majetku:</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výborný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velmi dobrý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dobrý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horší</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špatný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nevyhovující</w:t>
      </w:r>
    </w:p>
    <w:p w:rsidR="004D1AB8" w:rsidRPr="00EF607D" w:rsidRDefault="004D1AB8" w:rsidP="004D1AB8">
      <w:pPr>
        <w:rPr>
          <w:sz w:val="20"/>
          <w:szCs w:val="20"/>
        </w:rPr>
      </w:pPr>
      <w:r w:rsidRPr="00EF607D">
        <w:rPr>
          <w:sz w:val="20"/>
          <w:szCs w:val="20"/>
        </w:rPr>
        <w:t>Pro roky minulosti (doporučujeme alespoň od roku 2016 evidovat opravy pro přehlednost a zejména pro plánování oprav jednotlivých subjektů do budoucnosti).</w:t>
      </w:r>
    </w:p>
    <w:p w:rsidR="004D1AB8" w:rsidRPr="00EF607D" w:rsidRDefault="004D1AB8" w:rsidP="004D1AB8">
      <w:pPr>
        <w:pStyle w:val="Odstavecseseznamem"/>
        <w:numPr>
          <w:ilvl w:val="0"/>
          <w:numId w:val="35"/>
        </w:numPr>
        <w:spacing w:before="120"/>
        <w:rPr>
          <w:sz w:val="20"/>
          <w:szCs w:val="20"/>
        </w:rPr>
      </w:pPr>
      <w:r w:rsidRPr="00EF607D">
        <w:rPr>
          <w:sz w:val="20"/>
          <w:szCs w:val="20"/>
        </w:rPr>
        <w:t>plán</w:t>
      </w:r>
    </w:p>
    <w:p w:rsidR="004D1AB8" w:rsidRPr="00EF607D" w:rsidRDefault="004D1AB8" w:rsidP="004D1AB8">
      <w:pPr>
        <w:pStyle w:val="Odstavecseseznamem"/>
        <w:numPr>
          <w:ilvl w:val="0"/>
          <w:numId w:val="35"/>
        </w:numPr>
        <w:spacing w:before="120"/>
        <w:rPr>
          <w:sz w:val="20"/>
          <w:szCs w:val="20"/>
        </w:rPr>
      </w:pPr>
      <w:r w:rsidRPr="00EF607D">
        <w:rPr>
          <w:sz w:val="20"/>
          <w:szCs w:val="20"/>
        </w:rPr>
        <w:t>skutečnost</w:t>
      </w:r>
    </w:p>
    <w:p w:rsidR="004D1AB8" w:rsidRPr="00EF607D" w:rsidRDefault="004D1AB8" w:rsidP="004D1AB8">
      <w:pPr>
        <w:pStyle w:val="Odstavecseseznamem"/>
        <w:numPr>
          <w:ilvl w:val="0"/>
          <w:numId w:val="35"/>
        </w:numPr>
        <w:spacing w:before="120"/>
        <w:rPr>
          <w:sz w:val="20"/>
          <w:szCs w:val="20"/>
        </w:rPr>
      </w:pPr>
      <w:r w:rsidRPr="00EF607D">
        <w:rPr>
          <w:sz w:val="20"/>
          <w:szCs w:val="20"/>
        </w:rPr>
        <w:t>popis opravy</w:t>
      </w:r>
    </w:p>
    <w:p w:rsidR="009C51DC" w:rsidRDefault="009C51DC" w:rsidP="004D1AB8">
      <w:pPr>
        <w:rPr>
          <w:sz w:val="20"/>
          <w:szCs w:val="20"/>
        </w:rPr>
      </w:pPr>
    </w:p>
    <w:p w:rsidR="004D1AB8" w:rsidRPr="00EF607D" w:rsidRDefault="004D1AB8" w:rsidP="004D1AB8">
      <w:pPr>
        <w:rPr>
          <w:sz w:val="20"/>
          <w:szCs w:val="20"/>
        </w:rPr>
      </w:pPr>
      <w:r w:rsidRPr="00EF607D">
        <w:rPr>
          <w:sz w:val="20"/>
          <w:szCs w:val="20"/>
        </w:rPr>
        <w:t>Plán pro budoucnost vytvářet pětiletý (poslední sloupeček na období dalších tří let – přesně nespecifikováno)</w:t>
      </w:r>
    </w:p>
    <w:p w:rsidR="004D1AB8" w:rsidRPr="00EF607D" w:rsidRDefault="004D1AB8" w:rsidP="004D1AB8">
      <w:pPr>
        <w:pStyle w:val="Odstavecseseznamem"/>
        <w:numPr>
          <w:ilvl w:val="0"/>
          <w:numId w:val="35"/>
        </w:numPr>
        <w:spacing w:before="120"/>
        <w:rPr>
          <w:sz w:val="20"/>
          <w:szCs w:val="20"/>
        </w:rPr>
      </w:pPr>
      <w:r w:rsidRPr="00EF607D">
        <w:rPr>
          <w:sz w:val="20"/>
          <w:szCs w:val="20"/>
        </w:rPr>
        <w:t>odhadovaná výše výdajů na celkovou obnovu subjektu</w:t>
      </w:r>
    </w:p>
    <w:p w:rsidR="004D1AB8" w:rsidRPr="00EF607D" w:rsidRDefault="004D1AB8" w:rsidP="004D1AB8">
      <w:pPr>
        <w:pStyle w:val="Odstavecseseznamem"/>
        <w:numPr>
          <w:ilvl w:val="0"/>
          <w:numId w:val="35"/>
        </w:numPr>
        <w:spacing w:before="120"/>
        <w:rPr>
          <w:sz w:val="20"/>
          <w:szCs w:val="20"/>
        </w:rPr>
      </w:pPr>
      <w:r w:rsidRPr="00EF607D">
        <w:rPr>
          <w:sz w:val="20"/>
          <w:szCs w:val="20"/>
        </w:rPr>
        <w:t>způsob obnovy (oprava fasády, celková rekonstrukce, rekonstrukce stupaček atd.)</w:t>
      </w:r>
    </w:p>
    <w:p w:rsidR="004D1AB8" w:rsidRPr="00EF607D" w:rsidRDefault="004D1AB8" w:rsidP="004D1AB8">
      <w:pPr>
        <w:pStyle w:val="Odstavecseseznamem"/>
        <w:numPr>
          <w:ilvl w:val="0"/>
          <w:numId w:val="35"/>
        </w:numPr>
        <w:spacing w:before="120"/>
        <w:rPr>
          <w:sz w:val="20"/>
          <w:szCs w:val="20"/>
        </w:rPr>
      </w:pPr>
      <w:r w:rsidRPr="00EF607D">
        <w:rPr>
          <w:sz w:val="20"/>
          <w:szCs w:val="20"/>
        </w:rPr>
        <w:t>plánované částky v letech</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Pro bezproblémový chod celého procesu Plán obnovy majetku města je vhodné zvést a</w:t>
      </w:r>
      <w:r w:rsidR="009C51DC">
        <w:rPr>
          <w:sz w:val="20"/>
          <w:szCs w:val="20"/>
        </w:rPr>
        <w:t> </w:t>
      </w:r>
      <w:r w:rsidRPr="00EF607D">
        <w:rPr>
          <w:sz w:val="20"/>
          <w:szCs w:val="20"/>
        </w:rPr>
        <w:t>pravidelně aktualizovat tabulku cash-</w:t>
      </w:r>
      <w:proofErr w:type="spellStart"/>
      <w:r w:rsidRPr="00EF607D">
        <w:rPr>
          <w:sz w:val="20"/>
          <w:szCs w:val="20"/>
        </w:rPr>
        <w:t>flow</w:t>
      </w:r>
      <w:proofErr w:type="spellEnd"/>
      <w:r w:rsidRPr="00EF607D">
        <w:rPr>
          <w:sz w:val="20"/>
          <w:szCs w:val="20"/>
        </w:rPr>
        <w:t xml:space="preserve"> obnovy majetku města:</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Vzor tabulky</w:t>
      </w:r>
      <w:r w:rsidR="002C3356" w:rsidRPr="00EF607D">
        <w:rPr>
          <w:sz w:val="20"/>
          <w:szCs w:val="20"/>
        </w:rPr>
        <w:t xml:space="preserve"> „Plán obnovy majetku“</w:t>
      </w:r>
      <w:r w:rsidRPr="00EF607D">
        <w:rPr>
          <w:sz w:val="20"/>
          <w:szCs w:val="20"/>
        </w:rPr>
        <w:t>:</w:t>
      </w:r>
    </w:p>
    <w:p w:rsidR="004D1AB8" w:rsidRDefault="004D1AB8" w:rsidP="004D1AB8"/>
    <w:tbl>
      <w:tblPr>
        <w:tblStyle w:val="Mkatabulky"/>
        <w:tblW w:w="0" w:type="auto"/>
        <w:tblLook w:val="04A0" w:firstRow="1" w:lastRow="0" w:firstColumn="1" w:lastColumn="0" w:noHBand="0" w:noVBand="1"/>
      </w:tblPr>
      <w:tblGrid>
        <w:gridCol w:w="3936"/>
        <w:gridCol w:w="1417"/>
        <w:gridCol w:w="1418"/>
        <w:gridCol w:w="1559"/>
      </w:tblGrid>
      <w:tr w:rsidR="004D1AB8" w:rsidRPr="002E392A" w:rsidTr="002E392A">
        <w:trPr>
          <w:trHeight w:val="391"/>
        </w:trPr>
        <w:tc>
          <w:tcPr>
            <w:tcW w:w="3936" w:type="dxa"/>
            <w:shd w:val="clear" w:color="auto" w:fill="FF9900"/>
            <w:vAlign w:val="center"/>
          </w:tcPr>
          <w:p w:rsidR="004D1AB8" w:rsidRPr="002E392A" w:rsidRDefault="004D1AB8" w:rsidP="00A2368A">
            <w:pPr>
              <w:jc w:val="left"/>
              <w:rPr>
                <w:b/>
                <w:sz w:val="18"/>
                <w:szCs w:val="18"/>
              </w:rPr>
            </w:pPr>
            <w:r w:rsidRPr="002E392A">
              <w:rPr>
                <w:b/>
                <w:sz w:val="18"/>
                <w:szCs w:val="18"/>
              </w:rPr>
              <w:t>Stav účtu (tis.</w:t>
            </w:r>
            <w:r w:rsidR="002C3356" w:rsidRPr="002E392A">
              <w:rPr>
                <w:b/>
                <w:sz w:val="18"/>
                <w:szCs w:val="18"/>
              </w:rPr>
              <w:t xml:space="preserve"> </w:t>
            </w:r>
            <w:r w:rsidRPr="002E392A">
              <w:rPr>
                <w:b/>
                <w:sz w:val="18"/>
                <w:szCs w:val="18"/>
              </w:rPr>
              <w:t>Kč)</w:t>
            </w:r>
          </w:p>
        </w:tc>
        <w:tc>
          <w:tcPr>
            <w:tcW w:w="1417" w:type="dxa"/>
            <w:shd w:val="clear" w:color="auto" w:fill="FF9900"/>
            <w:vAlign w:val="center"/>
          </w:tcPr>
          <w:p w:rsidR="004D1AB8" w:rsidRPr="002E392A" w:rsidRDefault="004D1AB8" w:rsidP="00A2368A">
            <w:pPr>
              <w:jc w:val="center"/>
              <w:rPr>
                <w:b/>
                <w:sz w:val="18"/>
                <w:szCs w:val="18"/>
              </w:rPr>
            </w:pPr>
            <w:r w:rsidRPr="002E392A">
              <w:rPr>
                <w:b/>
                <w:sz w:val="18"/>
                <w:szCs w:val="18"/>
              </w:rPr>
              <w:t>Rok X</w:t>
            </w:r>
          </w:p>
        </w:tc>
        <w:tc>
          <w:tcPr>
            <w:tcW w:w="1418" w:type="dxa"/>
            <w:shd w:val="clear" w:color="auto" w:fill="FF9900"/>
            <w:vAlign w:val="center"/>
          </w:tcPr>
          <w:p w:rsidR="004D1AB8" w:rsidRPr="002E392A" w:rsidRDefault="004D1AB8" w:rsidP="00A2368A">
            <w:pPr>
              <w:jc w:val="center"/>
              <w:rPr>
                <w:b/>
                <w:sz w:val="18"/>
                <w:szCs w:val="18"/>
              </w:rPr>
            </w:pPr>
            <w:r w:rsidRPr="002E392A">
              <w:rPr>
                <w:b/>
                <w:sz w:val="18"/>
                <w:szCs w:val="18"/>
              </w:rPr>
              <w:t>Rok X+1</w:t>
            </w:r>
          </w:p>
        </w:tc>
        <w:tc>
          <w:tcPr>
            <w:tcW w:w="1559" w:type="dxa"/>
            <w:shd w:val="clear" w:color="auto" w:fill="FF9900"/>
            <w:vAlign w:val="center"/>
          </w:tcPr>
          <w:p w:rsidR="004D1AB8" w:rsidRPr="002E392A" w:rsidRDefault="004D1AB8" w:rsidP="00A2368A">
            <w:pPr>
              <w:jc w:val="center"/>
              <w:rPr>
                <w:b/>
                <w:sz w:val="18"/>
                <w:szCs w:val="18"/>
              </w:rPr>
            </w:pPr>
            <w:r w:rsidRPr="002E392A">
              <w:rPr>
                <w:b/>
                <w:sz w:val="18"/>
                <w:szCs w:val="18"/>
              </w:rPr>
              <w:t>Rok X+n</w:t>
            </w: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plánovaný </w:t>
            </w:r>
            <w:r>
              <w:rPr>
                <w:sz w:val="18"/>
                <w:szCs w:val="18"/>
              </w:rPr>
              <w:t>p</w:t>
            </w:r>
            <w:r w:rsidRPr="00D34793">
              <w:rPr>
                <w:sz w:val="18"/>
                <w:szCs w:val="18"/>
              </w:rPr>
              <w:t>očáteční stav</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skutečný</w:t>
            </w:r>
            <w:r>
              <w:rPr>
                <w:sz w:val="18"/>
                <w:szCs w:val="18"/>
              </w:rPr>
              <w:t xml:space="preserve"> p</w:t>
            </w:r>
            <w:r w:rsidRPr="00D34793">
              <w:rPr>
                <w:sz w:val="18"/>
                <w:szCs w:val="18"/>
              </w:rPr>
              <w:t>očáteční stav</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plnění fondu z</w:t>
            </w:r>
            <w:r>
              <w:rPr>
                <w:sz w:val="18"/>
                <w:szCs w:val="18"/>
              </w:rPr>
              <w:t> </w:t>
            </w:r>
            <w:r w:rsidRPr="00D34793">
              <w:rPr>
                <w:sz w:val="18"/>
                <w:szCs w:val="18"/>
              </w:rPr>
              <w:t>odpisů</w:t>
            </w:r>
            <w:r>
              <w:rPr>
                <w:sz w:val="18"/>
                <w:szCs w:val="18"/>
              </w:rPr>
              <w:t xml:space="preserve"> (p</w:t>
            </w:r>
            <w:r w:rsidRPr="00D34793">
              <w:rPr>
                <w:sz w:val="18"/>
                <w:szCs w:val="18"/>
              </w:rPr>
              <w:t>ředpoklad</w:t>
            </w:r>
            <w:r>
              <w:rPr>
                <w:sz w:val="18"/>
                <w:szCs w:val="18"/>
              </w:rPr>
              <w:t>)</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b/>
                <w:sz w:val="18"/>
                <w:szCs w:val="18"/>
              </w:rPr>
            </w:pPr>
            <w:r w:rsidRPr="00D34793">
              <w:rPr>
                <w:b/>
                <w:sz w:val="18"/>
                <w:szCs w:val="18"/>
              </w:rPr>
              <w:t>plnění fondu skutečné</w:t>
            </w:r>
          </w:p>
        </w:tc>
        <w:tc>
          <w:tcPr>
            <w:tcW w:w="1417" w:type="dxa"/>
          </w:tcPr>
          <w:p w:rsidR="004D1AB8" w:rsidRPr="00D34793" w:rsidRDefault="004D1AB8" w:rsidP="00A2368A">
            <w:pPr>
              <w:rPr>
                <w:b/>
                <w:sz w:val="18"/>
                <w:szCs w:val="18"/>
              </w:rPr>
            </w:pPr>
          </w:p>
        </w:tc>
        <w:tc>
          <w:tcPr>
            <w:tcW w:w="1418" w:type="dxa"/>
          </w:tcPr>
          <w:p w:rsidR="004D1AB8" w:rsidRPr="00D34793" w:rsidRDefault="004D1AB8" w:rsidP="00A2368A">
            <w:pPr>
              <w:rPr>
                <w:b/>
                <w:sz w:val="18"/>
                <w:szCs w:val="18"/>
              </w:rPr>
            </w:pPr>
          </w:p>
        </w:tc>
        <w:tc>
          <w:tcPr>
            <w:tcW w:w="1559" w:type="dxa"/>
          </w:tcPr>
          <w:p w:rsidR="004D1AB8" w:rsidRPr="00D34793" w:rsidRDefault="004D1AB8" w:rsidP="00A2368A">
            <w:pPr>
              <w:rPr>
                <w:b/>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Pr>
                <w:sz w:val="18"/>
                <w:szCs w:val="18"/>
              </w:rPr>
              <w:t xml:space="preserve">Převod z </w:t>
            </w:r>
            <w:r w:rsidR="002C3356">
              <w:rPr>
                <w:sz w:val="18"/>
                <w:szCs w:val="18"/>
              </w:rPr>
              <w:t>V</w:t>
            </w:r>
            <w:r>
              <w:rPr>
                <w:sz w:val="18"/>
                <w:szCs w:val="18"/>
              </w:rPr>
              <w:t>HČ</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plánované </w:t>
            </w:r>
            <w:r>
              <w:rPr>
                <w:sz w:val="18"/>
                <w:szCs w:val="18"/>
              </w:rPr>
              <w:t>č</w:t>
            </w:r>
            <w:r w:rsidRPr="00D34793">
              <w:rPr>
                <w:sz w:val="18"/>
                <w:szCs w:val="18"/>
              </w:rPr>
              <w:t>erpání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skutečné </w:t>
            </w:r>
            <w:r>
              <w:rPr>
                <w:sz w:val="18"/>
                <w:szCs w:val="18"/>
              </w:rPr>
              <w:t>č</w:t>
            </w:r>
            <w:r w:rsidRPr="00D34793">
              <w:rPr>
                <w:sz w:val="18"/>
                <w:szCs w:val="18"/>
              </w:rPr>
              <w:t>erpání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plánovaný </w:t>
            </w:r>
            <w:r>
              <w:rPr>
                <w:sz w:val="18"/>
                <w:szCs w:val="18"/>
              </w:rPr>
              <w:t>z</w:t>
            </w:r>
            <w:r w:rsidRPr="00D34793">
              <w:rPr>
                <w:sz w:val="18"/>
                <w:szCs w:val="18"/>
              </w:rPr>
              <w:t>ůstatek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b/>
                <w:sz w:val="18"/>
                <w:szCs w:val="18"/>
              </w:rPr>
            </w:pPr>
            <w:r w:rsidRPr="00D34793">
              <w:rPr>
                <w:b/>
                <w:sz w:val="18"/>
                <w:szCs w:val="18"/>
              </w:rPr>
              <w:t>skutečný zůstatek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bl>
    <w:p w:rsidR="004D1AB8" w:rsidRDefault="004D1AB8" w:rsidP="004D1AB8"/>
    <w:p w:rsidR="004D1AB8" w:rsidRPr="00EF607D" w:rsidRDefault="004D1AB8" w:rsidP="004D1AB8">
      <w:pPr>
        <w:rPr>
          <w:sz w:val="20"/>
          <w:szCs w:val="20"/>
        </w:rPr>
      </w:pPr>
      <w:r w:rsidRPr="00EF607D">
        <w:rPr>
          <w:sz w:val="20"/>
          <w:szCs w:val="20"/>
        </w:rPr>
        <w:t xml:space="preserve">Pro zavedení systému obnovy majetku města je zásadní podmínkou schválit v zastupitelstvu Plán obnovy majetku, Statut fondu obnovy města a pravidelná aktualizace Plánu obnovy majetku města s vazbou na rozpočet města. Samozřejmým předpokladem je dodržování </w:t>
      </w:r>
      <w:r w:rsidR="002C3356" w:rsidRPr="00EF607D">
        <w:rPr>
          <w:sz w:val="20"/>
          <w:szCs w:val="20"/>
        </w:rPr>
        <w:t xml:space="preserve">pravidel plynoucích z </w:t>
      </w:r>
      <w:r w:rsidRPr="00EF607D">
        <w:rPr>
          <w:sz w:val="20"/>
          <w:szCs w:val="20"/>
        </w:rPr>
        <w:t>těchto dokumentů.</w:t>
      </w:r>
    </w:p>
    <w:p w:rsidR="004D1AB8" w:rsidRPr="00EF607D" w:rsidRDefault="004D1AB8" w:rsidP="004D1AB8">
      <w:pPr>
        <w:rPr>
          <w:sz w:val="20"/>
          <w:szCs w:val="20"/>
        </w:rPr>
      </w:pPr>
    </w:p>
    <w:p w:rsidR="00A31135" w:rsidRPr="00EF607D" w:rsidRDefault="00A31135" w:rsidP="00A31135">
      <w:pPr>
        <w:rPr>
          <w:sz w:val="20"/>
          <w:szCs w:val="20"/>
        </w:rPr>
      </w:pPr>
      <w:r w:rsidRPr="00EF607D">
        <w:rPr>
          <w:sz w:val="20"/>
          <w:szCs w:val="20"/>
        </w:rPr>
        <w:t xml:space="preserve">Jak bylo zmíněno výše, další širokou oblastí vlastněného majetku městem s komerčním využitím jsou byty (bytové domy) a nebytové prostory. Problematiku této oblasti lze rozčlenit na několik úseků. Jednak se jedná o bytovou politiku obecně, tj. jaké typy bytů má město rozlišovat (obecný typ, typ VIP, typ startovací a typ sociální). Obecný byt je byt pro běžného občana, VIP byt pro občany, které je v zájmu města udržet </w:t>
      </w:r>
      <w:r w:rsidR="00CB0EA2" w:rsidRPr="00EF607D">
        <w:rPr>
          <w:sz w:val="20"/>
          <w:szCs w:val="20"/>
        </w:rPr>
        <w:t xml:space="preserve">či získat </w:t>
      </w:r>
      <w:r w:rsidRPr="00EF607D">
        <w:rPr>
          <w:sz w:val="20"/>
          <w:szCs w:val="20"/>
        </w:rPr>
        <w:lastRenderedPageBreak/>
        <w:t xml:space="preserve">(např. odborník zaměstnaný na městském úřadu, specialista lékař apod.), startovací byty pro mladé manžele a sociální byty pro </w:t>
      </w:r>
      <w:r w:rsidRPr="001E4471">
        <w:rPr>
          <w:sz w:val="20"/>
          <w:szCs w:val="20"/>
        </w:rPr>
        <w:t>sociál</w:t>
      </w:r>
      <w:r w:rsidRPr="00EF607D">
        <w:rPr>
          <w:sz w:val="20"/>
          <w:szCs w:val="20"/>
        </w:rPr>
        <w:t>ně slabé občany (rozhodně ne pro nepřizpůsobivé).</w:t>
      </w:r>
    </w:p>
    <w:p w:rsidR="00EF607D" w:rsidRDefault="00EF607D" w:rsidP="00A31135"/>
    <w:p w:rsidR="00EF607D" w:rsidRPr="00933C4F" w:rsidRDefault="00EF607D" w:rsidP="00EF607D">
      <w:pPr>
        <w:rPr>
          <w:sz w:val="20"/>
          <w:szCs w:val="20"/>
        </w:rPr>
      </w:pPr>
      <w:r w:rsidRPr="00933C4F">
        <w:rPr>
          <w:sz w:val="20"/>
          <w:szCs w:val="20"/>
        </w:rPr>
        <w:t xml:space="preserve">V České republice se na zákon o sociálním bydlení </w:t>
      </w:r>
      <w:r>
        <w:rPr>
          <w:sz w:val="20"/>
          <w:szCs w:val="20"/>
        </w:rPr>
        <w:t>čeká dlouho</w:t>
      </w:r>
      <w:r w:rsidRPr="00933C4F">
        <w:rPr>
          <w:sz w:val="20"/>
          <w:szCs w:val="20"/>
        </w:rPr>
        <w:t>. Koncepce zákona o</w:t>
      </w:r>
      <w:r w:rsidR="00E3772B">
        <w:rPr>
          <w:sz w:val="20"/>
          <w:szCs w:val="20"/>
        </w:rPr>
        <w:t> </w:t>
      </w:r>
      <w:r w:rsidRPr="00933C4F">
        <w:rPr>
          <w:sz w:val="20"/>
          <w:szCs w:val="20"/>
        </w:rPr>
        <w:t>sociálním bydlení byla schválena vládou 12. října 2015, samotný zákon pak</w:t>
      </w:r>
      <w:r>
        <w:rPr>
          <w:sz w:val="20"/>
          <w:szCs w:val="20"/>
        </w:rPr>
        <w:t xml:space="preserve"> vládou prošel 8. března 2017</w:t>
      </w:r>
      <w:r w:rsidRPr="00933C4F">
        <w:rPr>
          <w:sz w:val="20"/>
          <w:szCs w:val="20"/>
        </w:rPr>
        <w:t>, al</w:t>
      </w:r>
      <w:r>
        <w:rPr>
          <w:sz w:val="20"/>
          <w:szCs w:val="20"/>
        </w:rPr>
        <w:t>e Poslanecká sněmovna ho v daném</w:t>
      </w:r>
      <w:r w:rsidRPr="00933C4F">
        <w:rPr>
          <w:sz w:val="20"/>
          <w:szCs w:val="20"/>
        </w:rPr>
        <w:t xml:space="preserve"> volebním období nestihla projed</w:t>
      </w:r>
      <w:r>
        <w:rPr>
          <w:sz w:val="20"/>
          <w:szCs w:val="20"/>
        </w:rPr>
        <w:t>nat, což dosud trvá.</w:t>
      </w:r>
    </w:p>
    <w:p w:rsidR="00EF607D" w:rsidRPr="00933C4F" w:rsidRDefault="00EF607D" w:rsidP="00EF607D">
      <w:pPr>
        <w:rPr>
          <w:sz w:val="20"/>
          <w:szCs w:val="20"/>
        </w:rPr>
      </w:pPr>
    </w:p>
    <w:p w:rsidR="00EF607D" w:rsidRPr="00933C4F" w:rsidRDefault="00EF607D" w:rsidP="00EF607D">
      <w:pPr>
        <w:rPr>
          <w:sz w:val="20"/>
          <w:szCs w:val="20"/>
        </w:rPr>
      </w:pPr>
      <w:r w:rsidRPr="00933C4F">
        <w:rPr>
          <w:sz w:val="20"/>
          <w:szCs w:val="20"/>
        </w:rPr>
        <w:t xml:space="preserve">Systém je rozdělen na tři stupně a ke každému náleží specifické podmínky: </w:t>
      </w:r>
    </w:p>
    <w:p w:rsidR="00EF607D" w:rsidRPr="00552785" w:rsidRDefault="00EF607D" w:rsidP="00EF607D">
      <w:pPr>
        <w:pStyle w:val="Odstavecseseznamem"/>
        <w:numPr>
          <w:ilvl w:val="0"/>
          <w:numId w:val="42"/>
        </w:numPr>
        <w:rPr>
          <w:sz w:val="20"/>
          <w:szCs w:val="20"/>
        </w:rPr>
      </w:pPr>
      <w:r w:rsidRPr="00552785">
        <w:rPr>
          <w:sz w:val="20"/>
          <w:szCs w:val="20"/>
        </w:rPr>
        <w:t>Krizové bydlení – Jedná se o sociální službu, která bude zajišťovat střechu nad hlavou lidem, kteří bydlení nutně potřebují (pobyt časově omezen na 6 měsíců).</w:t>
      </w:r>
    </w:p>
    <w:p w:rsidR="00EF607D" w:rsidRPr="00933C4F" w:rsidRDefault="00EF607D" w:rsidP="00EF607D">
      <w:pPr>
        <w:pStyle w:val="Odstavecseseznamem"/>
        <w:numPr>
          <w:ilvl w:val="0"/>
          <w:numId w:val="42"/>
        </w:numPr>
        <w:rPr>
          <w:sz w:val="20"/>
          <w:szCs w:val="20"/>
        </w:rPr>
      </w:pPr>
      <w:r w:rsidRPr="00933C4F">
        <w:rPr>
          <w:sz w:val="20"/>
          <w:szCs w:val="20"/>
        </w:rPr>
        <w:t>Sociální byt – Obytný prostor poskytnutý obcí k trvalému bydlení, klientům</w:t>
      </w:r>
      <w:r>
        <w:rPr>
          <w:sz w:val="20"/>
          <w:szCs w:val="20"/>
        </w:rPr>
        <w:t xml:space="preserve"> </w:t>
      </w:r>
      <w:r w:rsidRPr="00933C4F">
        <w:rPr>
          <w:sz w:val="20"/>
          <w:szCs w:val="20"/>
        </w:rPr>
        <w:t xml:space="preserve">budou </w:t>
      </w:r>
      <w:r>
        <w:rPr>
          <w:sz w:val="20"/>
          <w:szCs w:val="20"/>
        </w:rPr>
        <w:t>asistovat sociální pracovníci.</w:t>
      </w:r>
    </w:p>
    <w:p w:rsidR="00EF607D" w:rsidRPr="00933C4F" w:rsidRDefault="00EF607D" w:rsidP="00EF607D">
      <w:pPr>
        <w:pStyle w:val="Odstavecseseznamem"/>
        <w:numPr>
          <w:ilvl w:val="0"/>
          <w:numId w:val="42"/>
        </w:numPr>
        <w:rPr>
          <w:sz w:val="20"/>
          <w:szCs w:val="20"/>
        </w:rPr>
      </w:pPr>
      <w:r w:rsidRPr="00933C4F">
        <w:rPr>
          <w:sz w:val="20"/>
          <w:szCs w:val="20"/>
        </w:rPr>
        <w:t>Dostupný byt – Poskytovatelem bydlení je obec, která s nájemníkem uzavře</w:t>
      </w:r>
      <w:r>
        <w:rPr>
          <w:sz w:val="20"/>
          <w:szCs w:val="20"/>
        </w:rPr>
        <w:t xml:space="preserve"> </w:t>
      </w:r>
      <w:r w:rsidRPr="00933C4F">
        <w:rPr>
          <w:sz w:val="20"/>
          <w:szCs w:val="20"/>
        </w:rPr>
        <w:t>nájemní smlouvu na dva roky. Obec poté monitoruje vývoj výše příjmů ubytovaných, a pokud se příjem zvedne až za určenou hranici, tak jsou</w:t>
      </w:r>
      <w:r>
        <w:rPr>
          <w:sz w:val="20"/>
          <w:szCs w:val="20"/>
        </w:rPr>
        <w:t xml:space="preserve"> </w:t>
      </w:r>
      <w:r w:rsidRPr="00933C4F">
        <w:rPr>
          <w:sz w:val="20"/>
          <w:szCs w:val="20"/>
        </w:rPr>
        <w:t>nájemníci vyzván</w:t>
      </w:r>
      <w:r>
        <w:rPr>
          <w:sz w:val="20"/>
          <w:szCs w:val="20"/>
        </w:rPr>
        <w:t>i k přesunu do běžného bydlení.</w:t>
      </w:r>
    </w:p>
    <w:p w:rsidR="00EF607D" w:rsidRDefault="00EF607D" w:rsidP="00EF607D">
      <w:pPr>
        <w:rPr>
          <w:sz w:val="20"/>
          <w:szCs w:val="20"/>
        </w:rPr>
      </w:pPr>
    </w:p>
    <w:p w:rsidR="00EF607D" w:rsidRPr="00EF607D" w:rsidRDefault="00EF607D" w:rsidP="00EF607D">
      <w:pPr>
        <w:rPr>
          <w:sz w:val="20"/>
          <w:szCs w:val="20"/>
        </w:rPr>
      </w:pPr>
      <w:r w:rsidRPr="00EF607D">
        <w:rPr>
          <w:sz w:val="20"/>
          <w:szCs w:val="20"/>
        </w:rPr>
        <w:t>Ovšem obecný zákon je věc jedna, druhou, mnohem zásadnější, jsou úplné parametry sociálního bydlení – kdo a za jakých konkrétních podmínek má na toto bydlení nárok a</w:t>
      </w:r>
      <w:r w:rsidR="00E3772B">
        <w:rPr>
          <w:sz w:val="20"/>
          <w:szCs w:val="20"/>
        </w:rPr>
        <w:t> </w:t>
      </w:r>
      <w:r w:rsidRPr="00EF607D">
        <w:rPr>
          <w:sz w:val="20"/>
          <w:szCs w:val="20"/>
        </w:rPr>
        <w:t>zda za nich vůbec bude možné uspokojit oprávněné žadatele. Lze si snadno představit podmínky, za nichž by město velikosti Slavkova potřebovalo řádově stovky sociálních bytů. Nicméně se dá očekávat, že reálně to bude tak, jak je to v současnosti s umisťováním seniorů do domovů důchodců – tj. velmi dlouhé pořadníky, kdy nemalá část žadatelů se toho vůbec nedočká, ti, kteří vůbec nemohou, skončí na sociálních lůžkách. Nicméně lze očekávat, že v relativně blízké budoucnosti se město nevyhne potřebě vystavět nějaké nové domy přinejmenším ve formátu ubytoven (hostelů) pro uspokojení alespoň části takto „oprávněných“ občanů. Ostatně tento formát v našich končinách byl znám již za monarchie a první republika v tom pokračovala – jednalo se o</w:t>
      </w:r>
      <w:r w:rsidR="00E3772B">
        <w:rPr>
          <w:sz w:val="20"/>
          <w:szCs w:val="20"/>
        </w:rPr>
        <w:t> </w:t>
      </w:r>
      <w:r w:rsidRPr="00EF607D">
        <w:rPr>
          <w:sz w:val="20"/>
          <w:szCs w:val="20"/>
        </w:rPr>
        <w:t>městské chudobince (byť v dnešních standardech by tato zařízení naprosto neobstála). Pro umístění do těchto domovů byla (mimo jiné podmínky) rozhodující místní příslušnost občana – „domovské právo“ (trvalý pobyt v daném místě).</w:t>
      </w:r>
    </w:p>
    <w:p w:rsidR="00EF607D" w:rsidRPr="00EF607D" w:rsidRDefault="00EF607D" w:rsidP="00A31135">
      <w:pPr>
        <w:rPr>
          <w:sz w:val="20"/>
          <w:szCs w:val="20"/>
        </w:rPr>
      </w:pPr>
    </w:p>
    <w:p w:rsidR="00A31135" w:rsidRPr="00EF607D" w:rsidRDefault="00CB0EA2" w:rsidP="00A31135">
      <w:pPr>
        <w:rPr>
          <w:sz w:val="20"/>
          <w:szCs w:val="20"/>
        </w:rPr>
      </w:pPr>
      <w:r w:rsidRPr="00EF607D">
        <w:rPr>
          <w:sz w:val="20"/>
          <w:szCs w:val="20"/>
        </w:rPr>
        <w:t>Město by mělo ve směrnici</w:t>
      </w:r>
      <w:r w:rsidR="00A31135" w:rsidRPr="00EF607D">
        <w:rPr>
          <w:sz w:val="20"/>
          <w:szCs w:val="20"/>
        </w:rPr>
        <w:t xml:space="preserve"> „Koncepce nakládání s byty“ </w:t>
      </w:r>
      <w:r w:rsidRPr="00EF607D">
        <w:rPr>
          <w:sz w:val="20"/>
          <w:szCs w:val="20"/>
        </w:rPr>
        <w:t xml:space="preserve">nastavit </w:t>
      </w:r>
      <w:r w:rsidR="00A31135" w:rsidRPr="00EF607D">
        <w:rPr>
          <w:sz w:val="20"/>
          <w:szCs w:val="20"/>
        </w:rPr>
        <w:t>pravidla rozdělení bytů na jednotlivé typy až po počet, který do těchto typů přiřadí. Obsah pravidel:</w:t>
      </w:r>
    </w:p>
    <w:p w:rsidR="00A31135" w:rsidRPr="00EF607D" w:rsidRDefault="00A31135" w:rsidP="00A31135">
      <w:pPr>
        <w:pStyle w:val="Odstavecseseznamem"/>
        <w:numPr>
          <w:ilvl w:val="0"/>
          <w:numId w:val="35"/>
        </w:numPr>
        <w:spacing w:before="120"/>
        <w:rPr>
          <w:sz w:val="20"/>
          <w:szCs w:val="20"/>
        </w:rPr>
      </w:pPr>
      <w:r w:rsidRPr="00EF607D">
        <w:rPr>
          <w:sz w:val="20"/>
          <w:szCs w:val="20"/>
        </w:rPr>
        <w:t>definice jednotlivých typů (pro jaké okruhy občanů jsou určeny, je-li nutnost trvalého bydliště ve městě, věk žadatelů, v některých případech i výše platu atd.)</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výběr žadatelů – losování, dražba, pořadník, výběr (doporučení komisí) atd.</w:t>
      </w:r>
    </w:p>
    <w:p w:rsidR="00A31135" w:rsidRPr="00EF607D" w:rsidRDefault="00A31135" w:rsidP="00A31135">
      <w:pPr>
        <w:pStyle w:val="Odstavecseseznamem"/>
        <w:numPr>
          <w:ilvl w:val="0"/>
          <w:numId w:val="35"/>
        </w:numPr>
        <w:spacing w:before="120"/>
        <w:rPr>
          <w:sz w:val="20"/>
          <w:szCs w:val="20"/>
        </w:rPr>
      </w:pPr>
      <w:r w:rsidRPr="00EF607D">
        <w:rPr>
          <w:sz w:val="20"/>
          <w:szCs w:val="20"/>
        </w:rPr>
        <w:t>počet pro jednotlivé typy – absolutní nebo procentuální z celkového počtu bytů</w:t>
      </w:r>
    </w:p>
    <w:p w:rsidR="00A31135" w:rsidRPr="00EF607D" w:rsidRDefault="00A31135" w:rsidP="00A31135">
      <w:pPr>
        <w:pStyle w:val="Odstavecseseznamem"/>
        <w:numPr>
          <w:ilvl w:val="0"/>
          <w:numId w:val="35"/>
        </w:numPr>
        <w:spacing w:before="120"/>
        <w:rPr>
          <w:sz w:val="20"/>
          <w:szCs w:val="20"/>
        </w:rPr>
      </w:pPr>
      <w:r w:rsidRPr="00EF607D">
        <w:rPr>
          <w:sz w:val="20"/>
          <w:szCs w:val="20"/>
        </w:rPr>
        <w:t>příloha směrnice – seznam domů/bytů včetně jejich technického stavu</w:t>
      </w:r>
    </w:p>
    <w:p w:rsidR="00A31135" w:rsidRPr="00EF607D" w:rsidRDefault="00A31135" w:rsidP="00A31135">
      <w:pPr>
        <w:rPr>
          <w:sz w:val="20"/>
          <w:szCs w:val="20"/>
        </w:rPr>
      </w:pPr>
    </w:p>
    <w:p w:rsidR="00A31135" w:rsidRPr="00EF607D" w:rsidRDefault="00A31135" w:rsidP="00A31135">
      <w:pPr>
        <w:rPr>
          <w:sz w:val="20"/>
          <w:szCs w:val="20"/>
        </w:rPr>
      </w:pPr>
      <w:r w:rsidRPr="00EF607D">
        <w:rPr>
          <w:sz w:val="20"/>
          <w:szCs w:val="20"/>
        </w:rPr>
        <w:t xml:space="preserve">Rozdělení a počty bytů rozčleněných na jednotlivé typy bude </w:t>
      </w:r>
      <w:r w:rsidR="001968FD" w:rsidRPr="00EF607D">
        <w:rPr>
          <w:sz w:val="20"/>
          <w:szCs w:val="20"/>
        </w:rPr>
        <w:t>p</w:t>
      </w:r>
      <w:r w:rsidRPr="00EF607D">
        <w:rPr>
          <w:sz w:val="20"/>
          <w:szCs w:val="20"/>
        </w:rPr>
        <w:t>odléhat schválení v zastupitelstvu. Reálné rozdělení ale bude probíhat postupně, protože město nedisponuje téměř žádnými volnými byty. V majetku města (vyjma bytů v DPS) je 150</w:t>
      </w:r>
      <w:r w:rsidR="00CB0EA2" w:rsidRPr="00EF607D">
        <w:rPr>
          <w:sz w:val="20"/>
          <w:szCs w:val="20"/>
        </w:rPr>
        <w:t xml:space="preserve"> bytů</w:t>
      </w:r>
      <w:r w:rsidRPr="00EF607D">
        <w:rPr>
          <w:sz w:val="20"/>
          <w:szCs w:val="20"/>
        </w:rPr>
        <w:t>. Z toho je smluvně uzavřen pronájem na 99 bytů na dobu neurčitou, 46 pak na dobu určitou (nejpozději do 30. 6. 2023</w:t>
      </w:r>
      <w:r w:rsidR="001968FD" w:rsidRPr="00EF607D">
        <w:rPr>
          <w:sz w:val="20"/>
          <w:szCs w:val="20"/>
        </w:rPr>
        <w:t>)</w:t>
      </w:r>
      <w:r w:rsidRPr="00EF607D">
        <w:rPr>
          <w:sz w:val="20"/>
          <w:szCs w:val="20"/>
        </w:rPr>
        <w:t>. V</w:t>
      </w:r>
      <w:r w:rsidR="009B694D" w:rsidRPr="00EF607D">
        <w:rPr>
          <w:sz w:val="20"/>
          <w:szCs w:val="20"/>
        </w:rPr>
        <w:t> termínu zpracování podkladů bylo</w:t>
      </w:r>
      <w:r w:rsidRPr="00EF607D">
        <w:rPr>
          <w:sz w:val="20"/>
          <w:szCs w:val="20"/>
        </w:rPr>
        <w:t xml:space="preserve"> pět bytů neobsazených</w:t>
      </w:r>
      <w:r w:rsidR="009B694D" w:rsidRPr="00EF607D">
        <w:rPr>
          <w:sz w:val="20"/>
          <w:szCs w:val="20"/>
        </w:rPr>
        <w:t xml:space="preserve"> (okamžitý stav je téměř jistě jiný)</w:t>
      </w:r>
      <w:r w:rsidRPr="00EF607D">
        <w:rPr>
          <w:sz w:val="20"/>
          <w:szCs w:val="20"/>
        </w:rPr>
        <w:t xml:space="preserve">. </w:t>
      </w:r>
      <w:r w:rsidR="00584CF7" w:rsidRPr="00EF607D">
        <w:rPr>
          <w:sz w:val="20"/>
          <w:szCs w:val="20"/>
        </w:rPr>
        <w:t>P</w:t>
      </w:r>
      <w:r w:rsidRPr="00EF607D">
        <w:rPr>
          <w:sz w:val="20"/>
          <w:szCs w:val="20"/>
        </w:rPr>
        <w:t>roto je ale důležité připravit městskou legislativu (směrnice) tak, aby mohly být záměry města implementovány tak, jak to situace s uvolněnými byty dovolí.</w:t>
      </w:r>
    </w:p>
    <w:p w:rsidR="00A31135" w:rsidRPr="00EF607D" w:rsidRDefault="00A31135" w:rsidP="00A31135">
      <w:pPr>
        <w:rPr>
          <w:sz w:val="20"/>
          <w:szCs w:val="20"/>
        </w:rPr>
      </w:pPr>
      <w:r w:rsidRPr="00EF607D">
        <w:rPr>
          <w:sz w:val="20"/>
          <w:szCs w:val="20"/>
        </w:rPr>
        <w:lastRenderedPageBreak/>
        <w:t xml:space="preserve">Město také </w:t>
      </w:r>
      <w:r w:rsidRPr="00EF607D">
        <w:rPr>
          <w:b/>
          <w:sz w:val="20"/>
          <w:szCs w:val="20"/>
        </w:rPr>
        <w:t>musí zajistit</w:t>
      </w:r>
      <w:r w:rsidRPr="00EF607D">
        <w:rPr>
          <w:sz w:val="20"/>
          <w:szCs w:val="20"/>
        </w:rPr>
        <w:t>, aby již nebyly uzavírány nájemní smlouvy na dobu neurčitou. Pro nové nájemníky by mělo platit „testovací“ období na maximálně jeden rok, a pokud nájemník bude plnit řádně všechny svoje povinnosti, bude mu nájem se zárukou dalšího pokračování prodlužován (</w:t>
      </w:r>
      <w:r w:rsidR="00CB0EA2" w:rsidRPr="00EF607D">
        <w:rPr>
          <w:sz w:val="20"/>
          <w:szCs w:val="20"/>
        </w:rPr>
        <w:t>doporučené rozmezí dalších období je od 2 do maximálně</w:t>
      </w:r>
      <w:r w:rsidRPr="00EF607D">
        <w:rPr>
          <w:sz w:val="20"/>
          <w:szCs w:val="20"/>
        </w:rPr>
        <w:t xml:space="preserve"> 5</w:t>
      </w:r>
      <w:r w:rsidR="00E3772B">
        <w:rPr>
          <w:sz w:val="20"/>
          <w:szCs w:val="20"/>
        </w:rPr>
        <w:t> </w:t>
      </w:r>
      <w:r w:rsidRPr="00EF607D">
        <w:rPr>
          <w:sz w:val="20"/>
          <w:szCs w:val="20"/>
        </w:rPr>
        <w:t xml:space="preserve">let). </w:t>
      </w:r>
      <w:r w:rsidR="00CB0EA2" w:rsidRPr="00EF607D">
        <w:rPr>
          <w:sz w:val="20"/>
          <w:szCs w:val="20"/>
        </w:rPr>
        <w:t xml:space="preserve">Čím je období kratší, tím menší jsou jistoty nájemníků a s tím spojená ochota větší než naprosto nezbytné spoluúčasti na nákladech údržby. </w:t>
      </w:r>
      <w:r w:rsidRPr="00EF607D">
        <w:rPr>
          <w:sz w:val="20"/>
          <w:szCs w:val="20"/>
        </w:rPr>
        <w:t>V rámci každého období doporučujeme kontroly nejen platební morálky, ale kontrolou na místě se ujistit, že se nájemník řádně stará o městskou nemovitost.</w:t>
      </w:r>
    </w:p>
    <w:p w:rsidR="00A31135" w:rsidRPr="00EF607D" w:rsidRDefault="00A31135" w:rsidP="00A31135">
      <w:pPr>
        <w:rPr>
          <w:sz w:val="20"/>
          <w:szCs w:val="20"/>
        </w:rPr>
      </w:pPr>
      <w:r w:rsidRPr="00EF607D">
        <w:rPr>
          <w:sz w:val="20"/>
          <w:szCs w:val="20"/>
        </w:rPr>
        <w:t>Pro zmírnění nesouladu mezi pronájmem městských bytů a komerčním nájmem město oznámilo nájemníkům zvýšení nájemného od 1. 1. 2020 o 20% přesně v souladu se zákonem.</w:t>
      </w:r>
    </w:p>
    <w:p w:rsidR="00A31135" w:rsidRPr="00EF607D" w:rsidRDefault="00A31135" w:rsidP="00A31135">
      <w:pPr>
        <w:rPr>
          <w:sz w:val="20"/>
          <w:szCs w:val="20"/>
        </w:rPr>
      </w:pPr>
      <w:r w:rsidRPr="00EF607D">
        <w:rPr>
          <w:sz w:val="20"/>
          <w:szCs w:val="20"/>
        </w:rPr>
        <w:t>Pro stávající nájemníky, kterým skončí platná nájemní smlouva k 31. 12. 2019, bylo posíláno následující oznámení:</w:t>
      </w:r>
    </w:p>
    <w:p w:rsidR="00A31135" w:rsidRPr="00EF607D" w:rsidRDefault="00A31135" w:rsidP="00A31135">
      <w:pPr>
        <w:rPr>
          <w:sz w:val="20"/>
          <w:szCs w:val="20"/>
        </w:rPr>
      </w:pPr>
      <w:r w:rsidRPr="00EF607D">
        <w:rPr>
          <w:sz w:val="20"/>
          <w:szCs w:val="20"/>
        </w:rPr>
        <w:t>„Město Slavkov, s vědomím dobrého hospodáře, jak mu to ukládá legislativa, přistupuje k</w:t>
      </w:r>
      <w:r w:rsidR="00E3772B">
        <w:rPr>
          <w:sz w:val="20"/>
          <w:szCs w:val="20"/>
        </w:rPr>
        <w:t> </w:t>
      </w:r>
      <w:r w:rsidRPr="00EF607D">
        <w:rPr>
          <w:sz w:val="20"/>
          <w:szCs w:val="20"/>
        </w:rPr>
        <w:t>podstatnějšímu zvyšování nájmů v městských bytech u nově uzavíraných smluv. Hlavním důvodem je výrazné dotování bydlení ze strany města. Platná legislativa v této oblasti, v rozporu s výše zmíněným principem dobrého hospodáře, bohužel velmi málo akcentovala reálný stav a způsobila hluboký nesoulad mezi skutečnými náklady na správu a údržbu nemovitostí a výnosy z nájmů plynoucími. Město si zpracovalo reálné náklady, nechalo provést odhad tržních nájmů a z nich byl vypočten odpovídající nájem, který činí 150 Kč / m2 měsíčně. Tato částka představuje přibližně 70% současného tržního nájemného ve městě. Abychom současným nájemníkům nezpůsobili větší potíže skokovým růstem a umožnili jim se na nové podmínky přichystat, případně najít alternativní bydlení, bude opatření směřující k narovnání nájemného na rovnovážný stav, kdy město bydlení nedotuje, rozloženo do třech etap – od 1. 1. 2020 budou stávající nájemníci při obnově smlouvy platit 90 Kč/m2, od 1. 1. 2021 pak 120 Kč/m2 a až od 1.</w:t>
      </w:r>
      <w:r w:rsidR="00065AB3">
        <w:rPr>
          <w:sz w:val="20"/>
          <w:szCs w:val="20"/>
        </w:rPr>
        <w:t> </w:t>
      </w:r>
      <w:r w:rsidRPr="00EF607D">
        <w:rPr>
          <w:sz w:val="20"/>
          <w:szCs w:val="20"/>
        </w:rPr>
        <w:t>1. 2022 bude dosaženo cílového stavu 150 Kč/m2.“</w:t>
      </w:r>
    </w:p>
    <w:p w:rsidR="00A31135" w:rsidRPr="00EF607D" w:rsidRDefault="00A31135" w:rsidP="00A31135">
      <w:pPr>
        <w:rPr>
          <w:sz w:val="20"/>
          <w:szCs w:val="20"/>
        </w:rPr>
      </w:pPr>
      <w:r w:rsidRPr="00EF607D">
        <w:rPr>
          <w:sz w:val="20"/>
          <w:szCs w:val="20"/>
        </w:rPr>
        <w:t xml:space="preserve">Existuje i varianta „urychleného“ navýšení pronájmu bytů, pronajímaných na dobu neurčitou. Pokud by ale město o této možnosti uvažovalo, určitě by mělo </w:t>
      </w:r>
      <w:r w:rsidRPr="00EF607D">
        <w:rPr>
          <w:b/>
          <w:sz w:val="20"/>
          <w:szCs w:val="20"/>
        </w:rPr>
        <w:t>kontaktovat</w:t>
      </w:r>
      <w:r w:rsidRPr="00EF607D">
        <w:rPr>
          <w:sz w:val="20"/>
          <w:szCs w:val="20"/>
        </w:rPr>
        <w:t xml:space="preserve"> relevantního právního poradce se zkušenostmi a specializací na pronájmy bytů.</w:t>
      </w:r>
    </w:p>
    <w:p w:rsidR="00A31135" w:rsidRPr="00EF607D" w:rsidRDefault="00A31135" w:rsidP="00A31135">
      <w:pPr>
        <w:rPr>
          <w:sz w:val="20"/>
          <w:szCs w:val="20"/>
        </w:rPr>
      </w:pPr>
      <w:r w:rsidRPr="00EF607D">
        <w:rPr>
          <w:sz w:val="20"/>
          <w:szCs w:val="20"/>
        </w:rPr>
        <w:t>Je-li nájemné z pohledu pronajímatele uzavřené před 1. 1. 2014 nízké, úprava v §3074 občanského zákoníku umožní narovnat situace, ke kterým dlouhodobým podfinancováním dochází.</w:t>
      </w:r>
    </w:p>
    <w:p w:rsidR="00A31135" w:rsidRPr="00EF607D" w:rsidRDefault="00A31135" w:rsidP="00A31135">
      <w:pPr>
        <w:rPr>
          <w:sz w:val="20"/>
          <w:szCs w:val="20"/>
        </w:rPr>
      </w:pPr>
      <w:r w:rsidRPr="00EF607D">
        <w:rPr>
          <w:sz w:val="20"/>
          <w:szCs w:val="20"/>
        </w:rPr>
        <w:t>Zásadní skutečnost: nájem byl uzavřen za účinnosti starého občanského zákoníku. V</w:t>
      </w:r>
      <w:r w:rsidR="00E3772B">
        <w:rPr>
          <w:sz w:val="20"/>
          <w:szCs w:val="20"/>
        </w:rPr>
        <w:t> </w:t>
      </w:r>
      <w:r w:rsidRPr="00EF607D">
        <w:rPr>
          <w:sz w:val="20"/>
          <w:szCs w:val="20"/>
        </w:rPr>
        <w:t>§</w:t>
      </w:r>
      <w:r w:rsidR="00E3772B">
        <w:rPr>
          <w:sz w:val="20"/>
          <w:szCs w:val="20"/>
        </w:rPr>
        <w:t> </w:t>
      </w:r>
      <w:r w:rsidRPr="00EF607D">
        <w:rPr>
          <w:sz w:val="20"/>
          <w:szCs w:val="20"/>
        </w:rPr>
        <w:t xml:space="preserve">3074 odstavci 2 je deklarováno – „Ustanovení § 2249 odst. 1 se nepoužije v případě, že nájemné nebylo určeno ujednáním pronajímatele a nájemce nebo rozhodnutím soudu, ale na základě jiného právního předpisu. V takovém případě má pronajímatel právo navrhnout v písemné formě nájemci zvýšení nájemného; ustanovení § 2249 odst. 3 se použije obdobně“. </w:t>
      </w:r>
    </w:p>
    <w:p w:rsidR="00A31135" w:rsidRPr="00EF607D" w:rsidRDefault="00A31135" w:rsidP="00A31135">
      <w:pPr>
        <w:rPr>
          <w:sz w:val="20"/>
          <w:szCs w:val="20"/>
        </w:rPr>
      </w:pPr>
      <w:r w:rsidRPr="00EF607D">
        <w:rPr>
          <w:sz w:val="20"/>
          <w:szCs w:val="20"/>
          <w:highlight w:val="lightGray"/>
        </w:rPr>
        <w:t>(§ 2249 odst. 1 zní: Neujednají-li si strany zvyšování nájemného nebo nevyloučí-li zvyšování nájemného výslovně, může pronajímatel v písemné formě navrhnout nájemci zvýšení nájemného až do výše srovnatelného nájemného obvyklého v daném místě, pokud navržené zvýšení spolu s tím, k němuž již došlo v posledních třech letech, nebude vyšší než dvacet procent. K návrhu učiněnému dříve než po uplynutí dvanácti měsíců, v</w:t>
      </w:r>
      <w:r w:rsidR="00E3772B">
        <w:rPr>
          <w:sz w:val="20"/>
          <w:szCs w:val="20"/>
          <w:highlight w:val="lightGray"/>
        </w:rPr>
        <w:t> </w:t>
      </w:r>
      <w:r w:rsidRPr="00EF607D">
        <w:rPr>
          <w:sz w:val="20"/>
          <w:szCs w:val="20"/>
          <w:highlight w:val="lightGray"/>
        </w:rPr>
        <w:t xml:space="preserve">nichž nájemné nebylo zvýšeno, nebo který neobsahuje výši nájemného a nedokládá splnění podmínek podle tohoto ustanovení, se nepřihlíží. A odstavec 3 zní: Souhlasí-li nájemce s návrhem na zvýšení nájemného, zaplatí počínaje třetím kalendářním měsícem po dojití návrhu zvýšené nájemné, jak bylo navrženo. Nesdělí-li nájemce v písemné formě pronajímateli do dvou měsíců od dojití návrhu, že se zvýšením nájemného souhlasí, má pronajímatel právo navrhnout ve lhůtě dalších tří měsíců, aby výši nájemného určil soud; návrhu podanému po uplynutí této lhůty soud nevyhoví, namítne-li nájemce, že návrh byl podán opožděně. Soud na návrh pronajímatele rozhodne </w:t>
      </w:r>
      <w:r w:rsidRPr="00EF607D">
        <w:rPr>
          <w:sz w:val="20"/>
          <w:szCs w:val="20"/>
          <w:highlight w:val="lightGray"/>
        </w:rPr>
        <w:lastRenderedPageBreak/>
        <w:t>o</w:t>
      </w:r>
      <w:r w:rsidR="00E3772B">
        <w:rPr>
          <w:sz w:val="20"/>
          <w:szCs w:val="20"/>
          <w:highlight w:val="lightGray"/>
        </w:rPr>
        <w:t> </w:t>
      </w:r>
      <w:r w:rsidRPr="00EF607D">
        <w:rPr>
          <w:sz w:val="20"/>
          <w:szCs w:val="20"/>
          <w:highlight w:val="lightGray"/>
        </w:rPr>
        <w:t>nájemném do výše, která je v místě a čase obvyklá s účinky ode dne podání návrhu soudu.)</w:t>
      </w:r>
    </w:p>
    <w:p w:rsidR="00A31135" w:rsidRPr="00EF607D" w:rsidRDefault="00A31135" w:rsidP="00A31135">
      <w:pPr>
        <w:rPr>
          <w:sz w:val="20"/>
          <w:szCs w:val="20"/>
        </w:rPr>
      </w:pPr>
      <w:r w:rsidRPr="00EF607D">
        <w:rPr>
          <w:sz w:val="20"/>
          <w:szCs w:val="20"/>
        </w:rPr>
        <w:t>To znamená, že limit 20% za tři roky se nemusí dodržet, pokud není sjednáno dohodou, ale je stanoveno jiným právním předpisem (tj. pokud na tyto nájemní vztahy bylo možné použít zákon číslo 107/2006 Sb., o jednostranném zvyšování nájemného).</w:t>
      </w:r>
    </w:p>
    <w:p w:rsidR="00A31135" w:rsidRPr="00EF607D" w:rsidRDefault="00A31135" w:rsidP="00A31135">
      <w:pPr>
        <w:rPr>
          <w:sz w:val="20"/>
          <w:szCs w:val="20"/>
        </w:rPr>
      </w:pPr>
      <w:r w:rsidRPr="00EF607D">
        <w:rPr>
          <w:sz w:val="20"/>
          <w:szCs w:val="20"/>
        </w:rPr>
        <w:t xml:space="preserve">Město má tedy právo v písemné formě navrhnout zvýšení nájemného (není při tom vázáno 20% limitem), </w:t>
      </w:r>
      <w:r w:rsidRPr="00EF607D">
        <w:rPr>
          <w:b/>
          <w:sz w:val="20"/>
          <w:szCs w:val="20"/>
        </w:rPr>
        <w:t>pokud nebylo nájemné sjednáno, ale bylo stanoveno právním předpisem</w:t>
      </w:r>
      <w:r w:rsidRPr="00EF607D">
        <w:rPr>
          <w:sz w:val="20"/>
          <w:szCs w:val="20"/>
        </w:rPr>
        <w:t xml:space="preserve"> (tzv. </w:t>
      </w:r>
      <w:r w:rsidRPr="00EF607D">
        <w:rPr>
          <w:b/>
          <w:sz w:val="20"/>
          <w:szCs w:val="20"/>
        </w:rPr>
        <w:t>regulované nájemné</w:t>
      </w:r>
      <w:r w:rsidRPr="00EF607D">
        <w:rPr>
          <w:sz w:val="20"/>
          <w:szCs w:val="20"/>
        </w:rPr>
        <w:t>). V případě, kdy nájemce nesdělí v</w:t>
      </w:r>
      <w:r w:rsidR="00E3772B">
        <w:rPr>
          <w:sz w:val="20"/>
          <w:szCs w:val="20"/>
        </w:rPr>
        <w:t> </w:t>
      </w:r>
      <w:r w:rsidRPr="00EF607D">
        <w:rPr>
          <w:sz w:val="20"/>
          <w:szCs w:val="20"/>
        </w:rPr>
        <w:t>písemné formě do dvou měsíců od doručení návrhu, že se zvýšením nájemného souhlasí, případně pokud sdělí, že nesouhlasí, má právo pronajímatel navrhnout ve lhůtě dalších tří měsíců, aby výši nájemného určil soud. Soud pak rozhodne o nájemném do výše, která je v místě a čase obvyklá s účinky ode dne podání návrhu soudu.</w:t>
      </w:r>
    </w:p>
    <w:p w:rsidR="00A31135" w:rsidRDefault="00256600" w:rsidP="00A31135">
      <w:pPr>
        <w:rPr>
          <w:sz w:val="20"/>
          <w:szCs w:val="20"/>
        </w:rPr>
      </w:pPr>
      <w:r>
        <w:rPr>
          <w:sz w:val="20"/>
          <w:szCs w:val="20"/>
        </w:rPr>
        <w:t>Z požadavku, aby město bylo „dobrým hospodářem“, vyplývá, že by všechny pronájmy měly být uzavřeny minimálně za nákladové ceny, běžně pak za ceny v „místě a čase obvyklé“.</w:t>
      </w:r>
    </w:p>
    <w:p w:rsidR="00256600" w:rsidRPr="00EF607D" w:rsidRDefault="00256600" w:rsidP="00A31135">
      <w:pPr>
        <w:rPr>
          <w:sz w:val="20"/>
          <w:szCs w:val="20"/>
        </w:rPr>
      </w:pPr>
    </w:p>
    <w:p w:rsidR="00A31135" w:rsidRPr="00EF607D" w:rsidRDefault="00A31135" w:rsidP="00A31135">
      <w:pPr>
        <w:rPr>
          <w:sz w:val="20"/>
          <w:szCs w:val="20"/>
        </w:rPr>
      </w:pPr>
      <w:r w:rsidRPr="00EF607D">
        <w:rPr>
          <w:sz w:val="20"/>
          <w:szCs w:val="20"/>
        </w:rPr>
        <w:t>Pronájem bytů – obsah směrnice</w:t>
      </w:r>
    </w:p>
    <w:p w:rsidR="00A31135" w:rsidRPr="00EF607D" w:rsidRDefault="00A31135" w:rsidP="00A31135">
      <w:pPr>
        <w:pStyle w:val="Odstavecseseznamem"/>
        <w:numPr>
          <w:ilvl w:val="0"/>
          <w:numId w:val="35"/>
        </w:numPr>
        <w:spacing w:before="120"/>
        <w:rPr>
          <w:sz w:val="20"/>
          <w:szCs w:val="20"/>
        </w:rPr>
      </w:pPr>
      <w:r w:rsidRPr="00EF607D">
        <w:rPr>
          <w:sz w:val="20"/>
          <w:szCs w:val="20"/>
        </w:rPr>
        <w:t>zveřejnění volného bytu (pokud se nebude jednat o typ VIP)</w:t>
      </w:r>
    </w:p>
    <w:p w:rsidR="00A31135" w:rsidRPr="00EF607D" w:rsidRDefault="00A31135" w:rsidP="00A31135">
      <w:pPr>
        <w:pStyle w:val="Odstavecseseznamem"/>
        <w:numPr>
          <w:ilvl w:val="0"/>
          <w:numId w:val="35"/>
        </w:numPr>
        <w:spacing w:before="120"/>
        <w:rPr>
          <w:sz w:val="20"/>
          <w:szCs w:val="20"/>
        </w:rPr>
      </w:pPr>
      <w:r w:rsidRPr="00EF607D">
        <w:rPr>
          <w:sz w:val="20"/>
          <w:szCs w:val="20"/>
        </w:rPr>
        <w:t>účast v řízení o volný byt</w:t>
      </w:r>
    </w:p>
    <w:p w:rsidR="00A31135" w:rsidRPr="00EF607D" w:rsidRDefault="00A31135" w:rsidP="00A31135">
      <w:pPr>
        <w:pStyle w:val="Odstavecseseznamem"/>
        <w:numPr>
          <w:ilvl w:val="0"/>
          <w:numId w:val="35"/>
        </w:numPr>
        <w:spacing w:before="120"/>
        <w:rPr>
          <w:sz w:val="20"/>
          <w:szCs w:val="20"/>
        </w:rPr>
      </w:pPr>
      <w:r w:rsidRPr="00EF607D">
        <w:rPr>
          <w:sz w:val="20"/>
          <w:szCs w:val="20"/>
        </w:rPr>
        <w:t>přihláška do řízení</w:t>
      </w:r>
    </w:p>
    <w:p w:rsidR="00A31135" w:rsidRPr="00EF607D" w:rsidRDefault="00A31135" w:rsidP="00A31135">
      <w:pPr>
        <w:pStyle w:val="Odstavecseseznamem"/>
        <w:numPr>
          <w:ilvl w:val="0"/>
          <w:numId w:val="35"/>
        </w:numPr>
        <w:spacing w:before="120"/>
        <w:rPr>
          <w:sz w:val="20"/>
          <w:szCs w:val="20"/>
        </w:rPr>
      </w:pPr>
      <w:r w:rsidRPr="00EF607D">
        <w:rPr>
          <w:sz w:val="20"/>
          <w:szCs w:val="20"/>
        </w:rPr>
        <w:t>úkony před zahájením řízení</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řízení</w:t>
      </w:r>
    </w:p>
    <w:p w:rsidR="00A31135" w:rsidRPr="00EF607D" w:rsidRDefault="00A31135" w:rsidP="00A31135">
      <w:pPr>
        <w:pStyle w:val="Odstavecseseznamem"/>
        <w:numPr>
          <w:ilvl w:val="0"/>
          <w:numId w:val="35"/>
        </w:numPr>
        <w:spacing w:before="120"/>
        <w:rPr>
          <w:sz w:val="20"/>
          <w:szCs w:val="20"/>
        </w:rPr>
      </w:pPr>
      <w:r w:rsidRPr="00EF607D">
        <w:rPr>
          <w:sz w:val="20"/>
          <w:szCs w:val="20"/>
        </w:rPr>
        <w:t>směna nájmů – stěhování</w:t>
      </w:r>
    </w:p>
    <w:p w:rsidR="00A31135" w:rsidRPr="00EF607D" w:rsidRDefault="00A31135" w:rsidP="00A31135">
      <w:pPr>
        <w:pStyle w:val="Odstavecseseznamem"/>
        <w:numPr>
          <w:ilvl w:val="0"/>
          <w:numId w:val="35"/>
        </w:numPr>
        <w:spacing w:before="120"/>
        <w:rPr>
          <w:sz w:val="20"/>
          <w:szCs w:val="20"/>
        </w:rPr>
      </w:pPr>
      <w:r w:rsidRPr="00EF607D">
        <w:rPr>
          <w:sz w:val="20"/>
          <w:szCs w:val="20"/>
        </w:rPr>
        <w:t>přechod nájmu §2279 (úmrtí nájemce)</w:t>
      </w:r>
    </w:p>
    <w:p w:rsidR="00A31135" w:rsidRPr="00EF607D" w:rsidRDefault="00A31135" w:rsidP="00A31135">
      <w:pPr>
        <w:pStyle w:val="Odstavecseseznamem"/>
        <w:numPr>
          <w:ilvl w:val="0"/>
          <w:numId w:val="35"/>
        </w:numPr>
        <w:spacing w:before="120"/>
        <w:rPr>
          <w:sz w:val="20"/>
          <w:szCs w:val="20"/>
        </w:rPr>
      </w:pPr>
      <w:r w:rsidRPr="00EF607D">
        <w:rPr>
          <w:sz w:val="20"/>
          <w:szCs w:val="20"/>
        </w:rPr>
        <w:t>podnájem</w:t>
      </w:r>
    </w:p>
    <w:p w:rsidR="00A31135" w:rsidRPr="00EF607D" w:rsidRDefault="00A31135" w:rsidP="00A31135">
      <w:pPr>
        <w:pStyle w:val="Odstavecseseznamem"/>
        <w:numPr>
          <w:ilvl w:val="0"/>
          <w:numId w:val="35"/>
        </w:numPr>
        <w:spacing w:before="120"/>
        <w:rPr>
          <w:sz w:val="20"/>
          <w:szCs w:val="20"/>
        </w:rPr>
      </w:pPr>
      <w:r w:rsidRPr="00EF607D">
        <w:rPr>
          <w:sz w:val="20"/>
          <w:szCs w:val="20"/>
        </w:rPr>
        <w:t>byty v DPS</w:t>
      </w:r>
    </w:p>
    <w:p w:rsidR="00A31135" w:rsidRPr="00EF607D" w:rsidRDefault="00A31135" w:rsidP="00A31135">
      <w:pPr>
        <w:pStyle w:val="Odstavecseseznamem"/>
        <w:numPr>
          <w:ilvl w:val="0"/>
          <w:numId w:val="35"/>
        </w:numPr>
        <w:spacing w:before="120"/>
        <w:rPr>
          <w:sz w:val="20"/>
          <w:szCs w:val="20"/>
        </w:rPr>
      </w:pPr>
      <w:r w:rsidRPr="00EF607D">
        <w:rPr>
          <w:sz w:val="20"/>
          <w:szCs w:val="20"/>
        </w:rPr>
        <w:t>přidělování VIP</w:t>
      </w:r>
    </w:p>
    <w:p w:rsidR="00A31135" w:rsidRPr="00EF607D" w:rsidRDefault="00A31135" w:rsidP="00A31135">
      <w:pPr>
        <w:pStyle w:val="Odstavecseseznamem"/>
        <w:numPr>
          <w:ilvl w:val="0"/>
          <w:numId w:val="35"/>
        </w:numPr>
        <w:spacing w:before="120"/>
        <w:rPr>
          <w:sz w:val="20"/>
          <w:szCs w:val="20"/>
        </w:rPr>
      </w:pPr>
      <w:r w:rsidRPr="00EF607D">
        <w:rPr>
          <w:sz w:val="20"/>
          <w:szCs w:val="20"/>
        </w:rPr>
        <w:t>příloha směrnice – vzory nájemních smluv</w:t>
      </w:r>
    </w:p>
    <w:p w:rsidR="00A31135" w:rsidRPr="00EF607D" w:rsidRDefault="00A31135" w:rsidP="00A31135">
      <w:pPr>
        <w:rPr>
          <w:sz w:val="20"/>
          <w:szCs w:val="20"/>
        </w:rPr>
      </w:pPr>
    </w:p>
    <w:p w:rsidR="00A31135" w:rsidRPr="00EF607D" w:rsidRDefault="00A31135" w:rsidP="00A31135">
      <w:pPr>
        <w:rPr>
          <w:sz w:val="20"/>
          <w:szCs w:val="20"/>
        </w:rPr>
      </w:pPr>
      <w:r w:rsidRPr="00EF607D">
        <w:rPr>
          <w:sz w:val="20"/>
          <w:szCs w:val="20"/>
        </w:rPr>
        <w:t>Směrnice definující pravidla pro provedení oprav a údržby v bytech.</w:t>
      </w:r>
    </w:p>
    <w:p w:rsidR="00A31135" w:rsidRPr="00EF607D" w:rsidRDefault="00A31135" w:rsidP="00A31135">
      <w:pPr>
        <w:rPr>
          <w:sz w:val="20"/>
          <w:szCs w:val="20"/>
        </w:rPr>
      </w:pPr>
      <w:r w:rsidRPr="00EF607D">
        <w:rPr>
          <w:sz w:val="20"/>
          <w:szCs w:val="20"/>
        </w:rPr>
        <w:t>Občanský zákoník v § 2257 definuje, že pronajímatel udržuje po dobu nájmu byt a dům ve stavu způsobilém k užívání a nájemce provádí a hradí pouze běžnou údržbu a drobné opravy související s užíváním bytu. Od počátku roku 2016 je v platnosti nařízení vlády č.</w:t>
      </w:r>
      <w:r w:rsidR="00E3772B">
        <w:rPr>
          <w:sz w:val="20"/>
          <w:szCs w:val="20"/>
        </w:rPr>
        <w:t> </w:t>
      </w:r>
      <w:r w:rsidRPr="00EF607D">
        <w:rPr>
          <w:sz w:val="20"/>
          <w:szCs w:val="20"/>
        </w:rPr>
        <w:t>308/2015 Sb., které tyto pojmy definuje a usnadňuje tak dohodu mezi nájemcem a</w:t>
      </w:r>
      <w:r w:rsidR="00E3772B">
        <w:rPr>
          <w:sz w:val="20"/>
          <w:szCs w:val="20"/>
        </w:rPr>
        <w:t> </w:t>
      </w:r>
      <w:r w:rsidRPr="00EF607D">
        <w:rPr>
          <w:sz w:val="20"/>
          <w:szCs w:val="20"/>
        </w:rPr>
        <w:t>pronajímatelem.</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drobných oprav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nákladů spojených s běžnou údržbou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ostatních oprav bytů a nákladů spojených s ostatní údržbou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havarijních oprav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generálních oprav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provádění stavebních úprav v bytech</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výměny zařizovacích předmětů bytu</w:t>
      </w:r>
    </w:p>
    <w:p w:rsidR="00A31135" w:rsidRPr="00EF607D" w:rsidRDefault="00A31135" w:rsidP="00A31135">
      <w:pPr>
        <w:pStyle w:val="Odstavecseseznamem"/>
        <w:numPr>
          <w:ilvl w:val="0"/>
          <w:numId w:val="35"/>
        </w:numPr>
        <w:spacing w:before="120"/>
        <w:rPr>
          <w:sz w:val="20"/>
          <w:szCs w:val="20"/>
        </w:rPr>
      </w:pPr>
      <w:r w:rsidRPr="00EF607D">
        <w:rPr>
          <w:sz w:val="20"/>
          <w:szCs w:val="20"/>
        </w:rPr>
        <w:t>informační povinnosti nájemců</w:t>
      </w:r>
    </w:p>
    <w:p w:rsidR="00A31135" w:rsidRPr="00EF607D" w:rsidRDefault="00A31135" w:rsidP="00A31135">
      <w:pPr>
        <w:rPr>
          <w:sz w:val="20"/>
          <w:szCs w:val="20"/>
        </w:rPr>
      </w:pPr>
    </w:p>
    <w:p w:rsidR="00A31135" w:rsidRPr="00EF607D" w:rsidRDefault="00A31135" w:rsidP="00A31135">
      <w:pPr>
        <w:rPr>
          <w:sz w:val="20"/>
          <w:szCs w:val="20"/>
        </w:rPr>
      </w:pPr>
      <w:r w:rsidRPr="00EF607D">
        <w:rPr>
          <w:sz w:val="20"/>
          <w:szCs w:val="20"/>
        </w:rPr>
        <w:t>Město cenové politice (vyjma cen za pronájem pozemků) nevěnovalo patřičnou pozornost. Naposledy zvyšovalo nájem v roce 2010. Proto v současné době je výše nájemného bytových prostor městských bytů na necelé jedné třetině komerčního nájmu.</w:t>
      </w:r>
    </w:p>
    <w:p w:rsidR="00DF6D05" w:rsidRPr="00EF607D" w:rsidRDefault="00DF6D05" w:rsidP="00DF6D05">
      <w:pPr>
        <w:rPr>
          <w:sz w:val="20"/>
          <w:szCs w:val="20"/>
        </w:rPr>
      </w:pPr>
      <w:r w:rsidRPr="00EF607D">
        <w:rPr>
          <w:sz w:val="20"/>
          <w:szCs w:val="20"/>
        </w:rPr>
        <w:t>Město musí v prvé řadě usilovat o narovnání nájemného a to nejen u pronájmu bytů, ale i nebytových jednotek. Pro byty platí, že měsíční pronájem za m</w:t>
      </w:r>
      <w:r w:rsidRPr="00EF607D">
        <w:rPr>
          <w:sz w:val="20"/>
          <w:szCs w:val="20"/>
          <w:vertAlign w:val="superscript"/>
        </w:rPr>
        <w:t>2</w:t>
      </w:r>
      <w:r w:rsidRPr="00EF607D">
        <w:rPr>
          <w:sz w:val="20"/>
          <w:szCs w:val="20"/>
        </w:rPr>
        <w:t xml:space="preserve"> dosáhne 150,- Kč, u</w:t>
      </w:r>
      <w:r w:rsidR="00065AB3">
        <w:rPr>
          <w:sz w:val="20"/>
          <w:szCs w:val="20"/>
        </w:rPr>
        <w:t> </w:t>
      </w:r>
      <w:r w:rsidRPr="00EF607D">
        <w:rPr>
          <w:sz w:val="20"/>
          <w:szCs w:val="20"/>
        </w:rPr>
        <w:t>nebytových jednotek pak 2 000,- Kč za m</w:t>
      </w:r>
      <w:r w:rsidRPr="00EF607D">
        <w:rPr>
          <w:sz w:val="20"/>
          <w:szCs w:val="20"/>
          <w:vertAlign w:val="superscript"/>
        </w:rPr>
        <w:t>2</w:t>
      </w:r>
      <w:r w:rsidRPr="00EF607D">
        <w:rPr>
          <w:sz w:val="20"/>
          <w:szCs w:val="20"/>
        </w:rPr>
        <w:t xml:space="preserve"> a rok.</w:t>
      </w:r>
    </w:p>
    <w:p w:rsidR="00DF6D05" w:rsidRPr="00EF607D" w:rsidRDefault="00DF6D05" w:rsidP="00DF6D05">
      <w:pPr>
        <w:rPr>
          <w:sz w:val="20"/>
          <w:szCs w:val="20"/>
        </w:rPr>
      </w:pPr>
      <w:r w:rsidRPr="00EF607D">
        <w:rPr>
          <w:sz w:val="20"/>
          <w:szCs w:val="20"/>
        </w:rPr>
        <w:lastRenderedPageBreak/>
        <w:t>Bez výjimky musí platit, že v nově uzavíraných smlouvách bude klausule o zvyšování nájemného o inflaci a to jak u bytů, tak i nebytových jednotek. Doporučení je také vytvořit ceník nájemného (u bytů i nebytových jednotek), který bude zohledňovat lokalitu pronajímaného subjektu, jeho stav a vybavenost. U nebytových jednotek pak bude rozlišovat místnosti na komerční využití, skladovací prostory a ostatní prostory (např. chodbu, sociální zařízení apod.). Také by měly být vypracovány vzorové smlouvy, které budou zohledňovat možné scénáře pronájmů.</w:t>
      </w:r>
    </w:p>
    <w:p w:rsidR="00DD0936" w:rsidRPr="00EF607D" w:rsidRDefault="00DD0936" w:rsidP="00DD0936">
      <w:pPr>
        <w:rPr>
          <w:sz w:val="20"/>
          <w:szCs w:val="20"/>
        </w:rPr>
      </w:pPr>
      <w:r w:rsidRPr="00EF607D">
        <w:rPr>
          <w:sz w:val="20"/>
          <w:szCs w:val="20"/>
        </w:rPr>
        <w:t>Nejsložitější je situace u pronájmů polikliniky. Nájmy se zde pohybují od 900,- Kč do 1 020,- Kč za m</w:t>
      </w:r>
      <w:r w:rsidRPr="00EF607D">
        <w:rPr>
          <w:sz w:val="20"/>
          <w:szCs w:val="20"/>
          <w:vertAlign w:val="superscript"/>
        </w:rPr>
        <w:t>2</w:t>
      </w:r>
      <w:r w:rsidRPr="00EF607D">
        <w:rPr>
          <w:sz w:val="20"/>
          <w:szCs w:val="20"/>
        </w:rPr>
        <w:t xml:space="preserve"> a rok</w:t>
      </w:r>
      <w:r w:rsidR="00485992" w:rsidRPr="00EF607D">
        <w:rPr>
          <w:sz w:val="20"/>
          <w:szCs w:val="20"/>
        </w:rPr>
        <w:t>, což činí 75 až 85 Kč za měsíc</w:t>
      </w:r>
      <w:r w:rsidRPr="00EF607D">
        <w:rPr>
          <w:sz w:val="20"/>
          <w:szCs w:val="20"/>
        </w:rPr>
        <w:t>. Drtivá většina pronájmů je na dobu neurčitou (výjimkou je pracoviště RTG – do 31. 3. 2023 a lékárna – do 31. 8. 2033). Panuje zde i nejednotnost u pronájmu mimo ordinace lékařů – někteří nájemci hradí i za čekárny. Většinou ale úhrady za tyto „obslužné“ místnosti a za sociální zařízení úhrady město nezískává.</w:t>
      </w:r>
    </w:p>
    <w:p w:rsidR="00AC4C13" w:rsidRPr="00EF607D" w:rsidRDefault="00485992" w:rsidP="00AC4C13">
      <w:pPr>
        <w:rPr>
          <w:sz w:val="20"/>
          <w:szCs w:val="20"/>
        </w:rPr>
      </w:pPr>
      <w:r w:rsidRPr="00EF607D">
        <w:rPr>
          <w:sz w:val="20"/>
          <w:szCs w:val="20"/>
        </w:rPr>
        <w:t xml:space="preserve">Z toho vyplývá, že město stojí před poměrně složitou a nepříjemnou otázkou – jak přijatelně vyřešit rýsující se značný nesoulad mezi </w:t>
      </w:r>
      <w:r w:rsidR="009B694D" w:rsidRPr="00EF607D">
        <w:rPr>
          <w:sz w:val="20"/>
          <w:szCs w:val="20"/>
        </w:rPr>
        <w:t xml:space="preserve">současným </w:t>
      </w:r>
      <w:r w:rsidRPr="00EF607D">
        <w:rPr>
          <w:sz w:val="20"/>
          <w:szCs w:val="20"/>
        </w:rPr>
        <w:t>nájmem nebytových (komerčních) prostor a nově nastaveným nájmem bytů.</w:t>
      </w:r>
      <w:r w:rsidR="00AC4C13" w:rsidRPr="00EF607D">
        <w:rPr>
          <w:sz w:val="20"/>
          <w:szCs w:val="20"/>
        </w:rPr>
        <w:t xml:space="preserve"> V tuto chvíli si je třeba uvědomit, že nejpozději za tři roky, kdy bude docházet k dalšímu zákonnému navýšení nájmů za bydlení o 20%, stane se nájem za nebytové prostory, které přinášejí nájemcům zisk, </w:t>
      </w:r>
      <w:r w:rsidR="00AC4C13" w:rsidRPr="00EF607D">
        <w:rPr>
          <w:b/>
          <w:sz w:val="20"/>
          <w:szCs w:val="20"/>
        </w:rPr>
        <w:t>levnější</w:t>
      </w:r>
      <w:r w:rsidR="00AC4C13" w:rsidRPr="00EF607D">
        <w:rPr>
          <w:sz w:val="20"/>
          <w:szCs w:val="20"/>
        </w:rPr>
        <w:t>.</w:t>
      </w:r>
    </w:p>
    <w:p w:rsidR="00AC4C13" w:rsidRPr="00EF607D" w:rsidRDefault="00AC4C13" w:rsidP="00AC4C13">
      <w:pPr>
        <w:rPr>
          <w:sz w:val="20"/>
          <w:szCs w:val="20"/>
        </w:rPr>
      </w:pPr>
    </w:p>
    <w:p w:rsidR="00AC4C13" w:rsidRPr="00EF607D" w:rsidRDefault="00AC4C13" w:rsidP="00AC4C13">
      <w:pPr>
        <w:rPr>
          <w:sz w:val="20"/>
          <w:szCs w:val="20"/>
        </w:rPr>
      </w:pPr>
      <w:r w:rsidRPr="00EF607D">
        <w:rPr>
          <w:sz w:val="20"/>
          <w:szCs w:val="20"/>
        </w:rPr>
        <w:t xml:space="preserve">Nejsložitější oblastí projektu je ekonomické zhodnocení hospodaření s majetkem. Pomocí definovaných ekonomických ukazatelů jsme zhodnotili relativní ekonomické chování města. Částečně srovnáním základních hodnot mezi vybraným vzorkem obcí a města na celostátní úrovni a na úrovni municipalit Jihomoravského kraje. V rámci tohoto hodnocení jsme ale více mohli využít spíše metodu interního </w:t>
      </w:r>
      <w:proofErr w:type="spellStart"/>
      <w:r w:rsidRPr="00EF607D">
        <w:rPr>
          <w:sz w:val="20"/>
          <w:szCs w:val="20"/>
        </w:rPr>
        <w:t>benchmarkingu</w:t>
      </w:r>
      <w:proofErr w:type="spellEnd"/>
      <w:r w:rsidRPr="00EF607D">
        <w:rPr>
          <w:sz w:val="20"/>
          <w:szCs w:val="20"/>
        </w:rPr>
        <w:t>, tj. zhodnocení vývoje vybraných ukazatelů v čase.</w:t>
      </w:r>
    </w:p>
    <w:p w:rsidR="006A7168" w:rsidRPr="00EF607D" w:rsidRDefault="00AC4C13" w:rsidP="006A7168">
      <w:pPr>
        <w:rPr>
          <w:sz w:val="20"/>
          <w:szCs w:val="20"/>
        </w:rPr>
      </w:pPr>
      <w:r w:rsidRPr="00EF607D">
        <w:rPr>
          <w:sz w:val="20"/>
          <w:szCs w:val="20"/>
        </w:rPr>
        <w:t>Pro celkový pohled na absolutní hodnoty ekonomiky města spojené s majetkem je situace značně složitá. Město má zřízenu hospodářskou činnost, spojenou i</w:t>
      </w:r>
      <w:r w:rsidR="00065AB3">
        <w:rPr>
          <w:sz w:val="20"/>
          <w:szCs w:val="20"/>
        </w:rPr>
        <w:t> </w:t>
      </w:r>
      <w:r w:rsidRPr="00EF607D">
        <w:rPr>
          <w:sz w:val="20"/>
          <w:szCs w:val="20"/>
        </w:rPr>
        <w:t>s hospodařením s majetkem – výběr nájmů (byty i nebytové jednotky), opravy nemovitého majetku, částečně i investice. Problém je v evidenci a nastavení procesů, odpovědnost a evidence procesů v účetnictví města. K tomu se ještě řadí i zřízený fond, jehož příjmy jsou závislé na výsledku hospodaření VHČ, svým způsobem na specifickém způsobu evidence výnosů a zejména nákladů VHČ.</w:t>
      </w:r>
      <w:r w:rsidR="006A7168" w:rsidRPr="00EF607D">
        <w:rPr>
          <w:sz w:val="20"/>
          <w:szCs w:val="20"/>
        </w:rPr>
        <w:t xml:space="preserve"> Lze ale skoro se stoprocentní jistotou konstatovat, že výše nájmu z pronájmu bytů tak i nebytových prostor nepokrývá skutečné náklady (výdaje) spojené s údržbou nemovitostí. Dokazování této skutečnosti není ale snadné. Část nákladů (výdajů) je totiž v této oblasti evidováno v rozpočtu města a část v účetnictví VHČ, které je ale pro toto zjišťování málo podrobné a částečné náklady z VHČ jsou také evidovány v rozpočtu města. Též evidence jakýchkoliv změn v oblasti majetku je vedena zpravidla pouze ručně na papíře a také na několika místech, což nepřispívá k přehlednosti a správnému vyhodnocování hospodaření s majetkem města. Proto doporučujeme vyvést z VHČ veškeré činnosti vyjma tepelného hospodaření a zavést evidenci změn přehledně (elektronicky, například i v Excelu) na jednom místě (v</w:t>
      </w:r>
      <w:r w:rsidR="00065AB3">
        <w:rPr>
          <w:sz w:val="20"/>
          <w:szCs w:val="20"/>
        </w:rPr>
        <w:t> </w:t>
      </w:r>
      <w:r w:rsidR="006A7168" w:rsidRPr="00EF607D">
        <w:rPr>
          <w:sz w:val="20"/>
          <w:szCs w:val="20"/>
        </w:rPr>
        <w:t>jednom souboru).</w:t>
      </w:r>
    </w:p>
    <w:p w:rsidR="00AC4C13" w:rsidRDefault="00AC4C13" w:rsidP="00AC4C13"/>
    <w:p w:rsidR="00485992" w:rsidRDefault="00A71FA4" w:rsidP="00F0244C">
      <w:pPr>
        <w:pStyle w:val="AQE1"/>
        <w:numPr>
          <w:ilvl w:val="0"/>
          <w:numId w:val="6"/>
        </w:numPr>
      </w:pPr>
      <w:bookmarkStart w:id="64" w:name="_Toc34910904"/>
      <w:r>
        <w:rPr>
          <w:sz w:val="28"/>
          <w:szCs w:val="28"/>
          <w:lang w:val="cs-CZ"/>
        </w:rPr>
        <w:lastRenderedPageBreak/>
        <w:t>Doporučené</w:t>
      </w:r>
      <w:r w:rsidR="00F0244C" w:rsidRPr="00F0244C">
        <w:rPr>
          <w:sz w:val="28"/>
          <w:szCs w:val="28"/>
          <w:lang w:val="cs-CZ"/>
        </w:rPr>
        <w:t xml:space="preserve"> implementační kroky</w:t>
      </w:r>
      <w:bookmarkEnd w:id="64"/>
    </w:p>
    <w:p w:rsidR="00A71FA4" w:rsidRDefault="00A71FA4" w:rsidP="00A71FA4">
      <w:pPr>
        <w:rPr>
          <w:sz w:val="20"/>
          <w:szCs w:val="20"/>
        </w:rPr>
      </w:pPr>
      <w:r w:rsidRPr="00A71FA4">
        <w:rPr>
          <w:sz w:val="20"/>
          <w:szCs w:val="20"/>
        </w:rPr>
        <w:t xml:space="preserve">Během vlastní implementace doporučujeme provést následující stěžejní </w:t>
      </w:r>
      <w:r>
        <w:rPr>
          <w:sz w:val="20"/>
          <w:szCs w:val="20"/>
        </w:rPr>
        <w:t>kroky, ideálně</w:t>
      </w:r>
      <w:r w:rsidRPr="00A71FA4">
        <w:rPr>
          <w:sz w:val="20"/>
          <w:szCs w:val="20"/>
        </w:rPr>
        <w:t xml:space="preserve"> v pořadí,</w:t>
      </w:r>
      <w:r>
        <w:rPr>
          <w:sz w:val="20"/>
          <w:szCs w:val="20"/>
        </w:rPr>
        <w:t xml:space="preserve"> ve kterém jsou uvedeny</w:t>
      </w:r>
      <w:r w:rsidR="00484079">
        <w:rPr>
          <w:sz w:val="20"/>
          <w:szCs w:val="20"/>
        </w:rPr>
        <w:t>, nicméně dodržení tohoto pořadí není nezbytné, ale kupříkl</w:t>
      </w:r>
      <w:r w:rsidR="005608EF">
        <w:rPr>
          <w:sz w:val="20"/>
          <w:szCs w:val="20"/>
        </w:rPr>
        <w:t>adu bodu 4 a stejně tak i bodu 7</w:t>
      </w:r>
      <w:r w:rsidR="00484079">
        <w:rPr>
          <w:sz w:val="20"/>
          <w:szCs w:val="20"/>
        </w:rPr>
        <w:t xml:space="preserve"> musí předcházet bod 3</w:t>
      </w:r>
      <w:r>
        <w:rPr>
          <w:sz w:val="20"/>
          <w:szCs w:val="20"/>
        </w:rPr>
        <w:t>.</w:t>
      </w:r>
    </w:p>
    <w:p w:rsidR="00A71FA4" w:rsidRPr="00A71FA4" w:rsidRDefault="00A71FA4" w:rsidP="00A71FA4">
      <w:pPr>
        <w:rPr>
          <w:sz w:val="20"/>
          <w:szCs w:val="20"/>
        </w:rPr>
      </w:pPr>
    </w:p>
    <w:p w:rsidR="00485992" w:rsidRPr="00A71FA4" w:rsidRDefault="00F0244C" w:rsidP="00F0244C">
      <w:pPr>
        <w:pStyle w:val="Odstavecseseznamem"/>
        <w:numPr>
          <w:ilvl w:val="0"/>
          <w:numId w:val="45"/>
        </w:numPr>
        <w:rPr>
          <w:sz w:val="20"/>
          <w:szCs w:val="20"/>
        </w:rPr>
      </w:pPr>
      <w:r w:rsidRPr="00A71FA4">
        <w:rPr>
          <w:sz w:val="20"/>
          <w:szCs w:val="20"/>
        </w:rPr>
        <w:t>Rozdělit majetek do základních skupin dle potřebnosti</w:t>
      </w:r>
    </w:p>
    <w:p w:rsidR="00F0244C" w:rsidRPr="00A71FA4" w:rsidRDefault="00F0244C" w:rsidP="00F0244C">
      <w:pPr>
        <w:pStyle w:val="Odstavecseseznamem"/>
        <w:numPr>
          <w:ilvl w:val="0"/>
          <w:numId w:val="45"/>
        </w:numPr>
        <w:rPr>
          <w:sz w:val="20"/>
          <w:szCs w:val="20"/>
        </w:rPr>
      </w:pPr>
      <w:r w:rsidRPr="00A71FA4">
        <w:rPr>
          <w:sz w:val="20"/>
          <w:szCs w:val="20"/>
        </w:rPr>
        <w:t>Rozhodnout jak naložit s VHČ (vedlejší hospodářská činnost)</w:t>
      </w:r>
    </w:p>
    <w:p w:rsidR="00A71FA4" w:rsidRPr="00A71FA4" w:rsidRDefault="00A71FA4" w:rsidP="00F0244C">
      <w:pPr>
        <w:pStyle w:val="Odstavecseseznamem"/>
        <w:numPr>
          <w:ilvl w:val="0"/>
          <w:numId w:val="45"/>
        </w:numPr>
        <w:rPr>
          <w:sz w:val="20"/>
          <w:szCs w:val="20"/>
        </w:rPr>
      </w:pPr>
      <w:r w:rsidRPr="00A71FA4">
        <w:rPr>
          <w:sz w:val="20"/>
          <w:szCs w:val="20"/>
        </w:rPr>
        <w:t>Zpracovat pasporty majetku</w:t>
      </w:r>
    </w:p>
    <w:p w:rsidR="00F0244C" w:rsidRPr="00A71FA4" w:rsidRDefault="00F0244C" w:rsidP="00F0244C">
      <w:pPr>
        <w:pStyle w:val="Odstavecseseznamem"/>
        <w:numPr>
          <w:ilvl w:val="0"/>
          <w:numId w:val="45"/>
        </w:numPr>
        <w:rPr>
          <w:sz w:val="20"/>
          <w:szCs w:val="20"/>
        </w:rPr>
      </w:pPr>
      <w:r w:rsidRPr="00A71FA4">
        <w:rPr>
          <w:sz w:val="20"/>
          <w:szCs w:val="20"/>
        </w:rPr>
        <w:t>Vytvořit plán obnovy maje</w:t>
      </w:r>
      <w:r w:rsidR="00A71FA4" w:rsidRPr="00A71FA4">
        <w:rPr>
          <w:sz w:val="20"/>
          <w:szCs w:val="20"/>
        </w:rPr>
        <w:t>tku včetně způsobu financování</w:t>
      </w:r>
      <w:r w:rsidR="00484079">
        <w:rPr>
          <w:sz w:val="20"/>
          <w:szCs w:val="20"/>
        </w:rPr>
        <w:t xml:space="preserve"> (fond)</w:t>
      </w:r>
    </w:p>
    <w:p w:rsidR="00A71FA4" w:rsidRDefault="00257D41" w:rsidP="00F0244C">
      <w:pPr>
        <w:pStyle w:val="Odstavecseseznamem"/>
        <w:numPr>
          <w:ilvl w:val="0"/>
          <w:numId w:val="45"/>
        </w:numPr>
        <w:rPr>
          <w:sz w:val="20"/>
          <w:szCs w:val="20"/>
        </w:rPr>
      </w:pPr>
      <w:r>
        <w:rPr>
          <w:sz w:val="20"/>
          <w:szCs w:val="20"/>
        </w:rPr>
        <w:t>Vy</w:t>
      </w:r>
      <w:r w:rsidR="00A71FA4" w:rsidRPr="00A71FA4">
        <w:rPr>
          <w:sz w:val="20"/>
          <w:szCs w:val="20"/>
        </w:rPr>
        <w:t xml:space="preserve">pracovat koncepci </w:t>
      </w:r>
      <w:r>
        <w:rPr>
          <w:sz w:val="20"/>
          <w:szCs w:val="20"/>
        </w:rPr>
        <w:t xml:space="preserve">(směrnici) </w:t>
      </w:r>
      <w:r w:rsidR="00A71FA4" w:rsidRPr="00A71FA4">
        <w:rPr>
          <w:sz w:val="20"/>
          <w:szCs w:val="20"/>
        </w:rPr>
        <w:t>nakládání s</w:t>
      </w:r>
      <w:r w:rsidR="005608EF">
        <w:rPr>
          <w:sz w:val="20"/>
          <w:szCs w:val="20"/>
        </w:rPr>
        <w:t> </w:t>
      </w:r>
      <w:r w:rsidR="00A71FA4" w:rsidRPr="00A71FA4">
        <w:rPr>
          <w:sz w:val="20"/>
          <w:szCs w:val="20"/>
        </w:rPr>
        <w:t>byty</w:t>
      </w:r>
    </w:p>
    <w:p w:rsidR="005608EF" w:rsidRPr="00A71FA4" w:rsidRDefault="005608EF" w:rsidP="00F0244C">
      <w:pPr>
        <w:pStyle w:val="Odstavecseseznamem"/>
        <w:numPr>
          <w:ilvl w:val="0"/>
          <w:numId w:val="45"/>
        </w:numPr>
        <w:rPr>
          <w:sz w:val="20"/>
          <w:szCs w:val="20"/>
        </w:rPr>
      </w:pPr>
      <w:r>
        <w:rPr>
          <w:sz w:val="20"/>
          <w:szCs w:val="20"/>
        </w:rPr>
        <w:t>Aktualizovat (</w:t>
      </w:r>
      <w:r w:rsidR="009758C2">
        <w:rPr>
          <w:sz w:val="20"/>
          <w:szCs w:val="20"/>
        </w:rPr>
        <w:t xml:space="preserve">upřesnit) </w:t>
      </w:r>
      <w:r>
        <w:rPr>
          <w:sz w:val="20"/>
          <w:szCs w:val="20"/>
        </w:rPr>
        <w:t>pravidla pronájmů nebytových prostor</w:t>
      </w:r>
    </w:p>
    <w:p w:rsidR="00A71FA4" w:rsidRPr="00A71FA4" w:rsidRDefault="00A71FA4" w:rsidP="00F0244C">
      <w:pPr>
        <w:pStyle w:val="Odstavecseseznamem"/>
        <w:numPr>
          <w:ilvl w:val="0"/>
          <w:numId w:val="45"/>
        </w:numPr>
        <w:rPr>
          <w:sz w:val="20"/>
          <w:szCs w:val="20"/>
        </w:rPr>
      </w:pPr>
      <w:r w:rsidRPr="00A71FA4">
        <w:rPr>
          <w:sz w:val="20"/>
          <w:szCs w:val="20"/>
        </w:rPr>
        <w:t>Zpracovat pravidla pro transparentní evidenci nákladů a výnosů majetku</w:t>
      </w:r>
    </w:p>
    <w:p w:rsidR="009758C2" w:rsidRDefault="009758C2" w:rsidP="004D1AB8"/>
    <w:p w:rsidR="00A31135" w:rsidRPr="009758C2" w:rsidRDefault="009758C2" w:rsidP="004D1AB8">
      <w:pPr>
        <w:rPr>
          <w:sz w:val="20"/>
          <w:szCs w:val="20"/>
        </w:rPr>
      </w:pPr>
      <w:r w:rsidRPr="009758C2">
        <w:rPr>
          <w:sz w:val="20"/>
          <w:szCs w:val="20"/>
        </w:rPr>
        <w:t xml:space="preserve">Všechny výše uvedené kroky navazují na zjištění obsažená v této studii a shrnují doporučení obsažená v kapitole </w:t>
      </w:r>
      <w:r>
        <w:rPr>
          <w:sz w:val="20"/>
          <w:szCs w:val="20"/>
        </w:rPr>
        <w:t>8</w:t>
      </w:r>
      <w:r w:rsidRPr="009758C2">
        <w:rPr>
          <w:sz w:val="20"/>
          <w:szCs w:val="20"/>
        </w:rPr>
        <w:t xml:space="preserve"> (Závěr</w:t>
      </w:r>
      <w:r>
        <w:rPr>
          <w:sz w:val="20"/>
          <w:szCs w:val="20"/>
        </w:rPr>
        <w:t>y</w:t>
      </w:r>
      <w:r w:rsidRPr="009758C2">
        <w:rPr>
          <w:sz w:val="20"/>
          <w:szCs w:val="20"/>
        </w:rPr>
        <w:t>).</w:t>
      </w:r>
    </w:p>
    <w:p w:rsidR="009758C2" w:rsidRDefault="009758C2" w:rsidP="004D1AB8"/>
    <w:p w:rsidR="004D1AB8" w:rsidRPr="00256600" w:rsidRDefault="003D4910" w:rsidP="003D4910">
      <w:pPr>
        <w:pStyle w:val="AQE1"/>
        <w:numPr>
          <w:ilvl w:val="0"/>
          <w:numId w:val="6"/>
        </w:numPr>
        <w:rPr>
          <w:sz w:val="28"/>
          <w:szCs w:val="28"/>
          <w:lang w:val="cs-CZ"/>
        </w:rPr>
      </w:pPr>
      <w:bookmarkStart w:id="65" w:name="_Toc34910905"/>
      <w:r w:rsidRPr="00256600">
        <w:rPr>
          <w:sz w:val="28"/>
          <w:szCs w:val="28"/>
          <w:lang w:val="cs-CZ"/>
        </w:rPr>
        <w:lastRenderedPageBreak/>
        <w:t>Seznam zkratek</w:t>
      </w:r>
      <w:bookmarkEnd w:id="65"/>
    </w:p>
    <w:p w:rsidR="00AC4C13" w:rsidRDefault="00AC4C13" w:rsidP="003D4910">
      <w:pPr>
        <w:pStyle w:val="Zkladntext"/>
        <w:rPr>
          <w:rFonts w:ascii="Verdana" w:eastAsia="Calibri" w:hAnsi="Verdana"/>
          <w:sz w:val="21"/>
        </w:rPr>
      </w:pPr>
    </w:p>
    <w:p w:rsidR="003D4910" w:rsidRPr="00EF607D" w:rsidRDefault="003D4910" w:rsidP="00240252">
      <w:pPr>
        <w:pStyle w:val="Zkladntext"/>
        <w:spacing w:after="0"/>
        <w:rPr>
          <w:rFonts w:ascii="Verdana" w:eastAsia="Calibri" w:hAnsi="Verdana"/>
          <w:sz w:val="20"/>
          <w:szCs w:val="20"/>
        </w:rPr>
      </w:pPr>
      <w:r w:rsidRPr="00EF607D">
        <w:rPr>
          <w:rFonts w:ascii="Verdana" w:eastAsia="Calibri" w:hAnsi="Verdana"/>
          <w:sz w:val="20"/>
          <w:szCs w:val="20"/>
        </w:rPr>
        <w:t>DHNM – dlouhodobý hmotný a nehmotný majetek</w:t>
      </w:r>
    </w:p>
    <w:p w:rsidR="003D4910" w:rsidRPr="00EF607D" w:rsidRDefault="003D4910" w:rsidP="00240252">
      <w:pPr>
        <w:pStyle w:val="Zkladntext"/>
        <w:spacing w:after="0"/>
        <w:rPr>
          <w:rFonts w:ascii="Verdana" w:eastAsia="Calibri" w:hAnsi="Verdana"/>
          <w:sz w:val="20"/>
          <w:szCs w:val="20"/>
        </w:rPr>
      </w:pPr>
      <w:r w:rsidRPr="00EF607D">
        <w:rPr>
          <w:rFonts w:ascii="Verdana" w:eastAsia="Calibri" w:hAnsi="Verdana"/>
          <w:sz w:val="20"/>
          <w:szCs w:val="20"/>
        </w:rPr>
        <w:t>DHM – dlouhodobý hmotný majetek</w:t>
      </w:r>
    </w:p>
    <w:p w:rsidR="003D4910" w:rsidRPr="00EF607D" w:rsidRDefault="003D4910" w:rsidP="00240252">
      <w:pPr>
        <w:pStyle w:val="Zkladntext"/>
        <w:spacing w:after="0"/>
        <w:rPr>
          <w:rFonts w:ascii="Verdana" w:eastAsia="Calibri" w:hAnsi="Verdana"/>
          <w:sz w:val="20"/>
          <w:szCs w:val="20"/>
        </w:rPr>
      </w:pPr>
      <w:r w:rsidRPr="00EF607D">
        <w:rPr>
          <w:rFonts w:ascii="Verdana" w:eastAsia="Calibri" w:hAnsi="Verdana"/>
          <w:sz w:val="20"/>
          <w:szCs w:val="20"/>
        </w:rPr>
        <w:t>BV – běžné výdaje</w:t>
      </w:r>
    </w:p>
    <w:p w:rsidR="00AC4C13" w:rsidRPr="00EF607D" w:rsidRDefault="00AC4C13" w:rsidP="00240252">
      <w:pPr>
        <w:pStyle w:val="Zkladntext"/>
        <w:spacing w:after="0"/>
        <w:rPr>
          <w:rFonts w:ascii="Verdana" w:eastAsia="Calibri" w:hAnsi="Verdana"/>
          <w:sz w:val="20"/>
          <w:szCs w:val="20"/>
        </w:rPr>
      </w:pPr>
      <w:r w:rsidRPr="00EF607D">
        <w:rPr>
          <w:rFonts w:ascii="Verdana" w:eastAsia="Calibri" w:hAnsi="Verdana"/>
          <w:sz w:val="20"/>
          <w:szCs w:val="20"/>
        </w:rPr>
        <w:t>VHČ – vedlejší hospodářská činnost</w:t>
      </w:r>
    </w:p>
    <w:p w:rsidR="000027ED" w:rsidRPr="00EF607D" w:rsidRDefault="000027ED" w:rsidP="00240252">
      <w:pPr>
        <w:pStyle w:val="Zkladntext"/>
        <w:spacing w:after="0"/>
        <w:rPr>
          <w:rFonts w:ascii="Verdana" w:eastAsia="Calibri" w:hAnsi="Verdana"/>
          <w:sz w:val="20"/>
          <w:szCs w:val="20"/>
        </w:rPr>
      </w:pPr>
      <w:r w:rsidRPr="00EF607D">
        <w:rPr>
          <w:rFonts w:ascii="Verdana" w:eastAsia="Calibri" w:hAnsi="Verdana"/>
          <w:sz w:val="20"/>
          <w:szCs w:val="20"/>
        </w:rPr>
        <w:t>DPS – dům s pečovatelskou službou</w:t>
      </w:r>
    </w:p>
    <w:p w:rsidR="000027ED" w:rsidRDefault="000027ED" w:rsidP="00240252">
      <w:pPr>
        <w:pStyle w:val="Zkladntext"/>
        <w:spacing w:after="0"/>
        <w:rPr>
          <w:rFonts w:ascii="Verdana" w:eastAsia="Calibri" w:hAnsi="Verdana"/>
          <w:sz w:val="20"/>
          <w:szCs w:val="20"/>
        </w:rPr>
      </w:pPr>
      <w:r w:rsidRPr="00EF607D">
        <w:rPr>
          <w:rFonts w:ascii="Verdana" w:eastAsia="Calibri" w:hAnsi="Verdana"/>
          <w:sz w:val="20"/>
          <w:szCs w:val="20"/>
        </w:rPr>
        <w:t>BJ – bytová jednotka</w:t>
      </w:r>
    </w:p>
    <w:p w:rsidR="00240252" w:rsidRPr="00EF607D" w:rsidRDefault="00240252" w:rsidP="00240252">
      <w:pPr>
        <w:pStyle w:val="Zkladntext"/>
        <w:spacing w:after="0"/>
        <w:rPr>
          <w:rFonts w:ascii="Verdana" w:eastAsia="Calibri" w:hAnsi="Verdana"/>
          <w:sz w:val="20"/>
          <w:szCs w:val="20"/>
        </w:rPr>
      </w:pPr>
      <w:r>
        <w:rPr>
          <w:rFonts w:ascii="Verdana" w:eastAsia="Calibri" w:hAnsi="Verdana"/>
          <w:sz w:val="20"/>
          <w:szCs w:val="20"/>
        </w:rPr>
        <w:t>BD – bytový dům</w:t>
      </w:r>
    </w:p>
    <w:p w:rsidR="00FA24ED" w:rsidRPr="00EF607D" w:rsidRDefault="00FA24ED" w:rsidP="00240252">
      <w:pPr>
        <w:pStyle w:val="Zkladntext"/>
        <w:spacing w:after="0"/>
        <w:rPr>
          <w:rFonts w:ascii="Verdana" w:eastAsia="Calibri" w:hAnsi="Verdana"/>
          <w:sz w:val="20"/>
          <w:szCs w:val="20"/>
        </w:rPr>
      </w:pPr>
      <w:r w:rsidRPr="00EF607D">
        <w:rPr>
          <w:rFonts w:ascii="Verdana" w:eastAsia="Calibri" w:hAnsi="Verdana"/>
          <w:sz w:val="20"/>
          <w:szCs w:val="20"/>
        </w:rPr>
        <w:t>HZS - hasičský záchranný sbor</w:t>
      </w:r>
    </w:p>
    <w:p w:rsidR="00FA24ED" w:rsidRPr="00EF607D" w:rsidRDefault="00FA24ED" w:rsidP="00240252">
      <w:pPr>
        <w:pStyle w:val="Zkladntext"/>
        <w:spacing w:after="0"/>
        <w:rPr>
          <w:rFonts w:ascii="Verdana" w:eastAsia="Calibri" w:hAnsi="Verdana"/>
          <w:sz w:val="20"/>
          <w:szCs w:val="20"/>
        </w:rPr>
      </w:pPr>
      <w:r w:rsidRPr="00EF607D">
        <w:rPr>
          <w:rFonts w:ascii="Verdana" w:eastAsia="Calibri" w:hAnsi="Verdana"/>
          <w:sz w:val="20"/>
          <w:szCs w:val="20"/>
        </w:rPr>
        <w:t>JMK – Jihomoravský kraj</w:t>
      </w:r>
    </w:p>
    <w:p w:rsidR="00FB4CD7" w:rsidRDefault="00FB4CD7" w:rsidP="00240252">
      <w:pPr>
        <w:pStyle w:val="Zkladntext"/>
        <w:spacing w:after="0"/>
        <w:rPr>
          <w:rFonts w:ascii="Verdana" w:eastAsia="Calibri" w:hAnsi="Verdana"/>
          <w:sz w:val="20"/>
          <w:szCs w:val="20"/>
        </w:rPr>
      </w:pPr>
      <w:r w:rsidRPr="00EF607D">
        <w:rPr>
          <w:rFonts w:ascii="Verdana" w:eastAsia="Calibri" w:hAnsi="Verdana"/>
          <w:sz w:val="20"/>
          <w:szCs w:val="20"/>
        </w:rPr>
        <w:t>ZZS - Zdravotnická záchranná služba</w:t>
      </w:r>
    </w:p>
    <w:p w:rsidR="0073745E" w:rsidRDefault="0073745E" w:rsidP="003D4910">
      <w:pPr>
        <w:pStyle w:val="Zkladntext"/>
        <w:rPr>
          <w:rFonts w:ascii="Verdana" w:eastAsia="Calibri" w:hAnsi="Verdana"/>
          <w:sz w:val="20"/>
          <w:szCs w:val="20"/>
        </w:rPr>
      </w:pPr>
    </w:p>
    <w:p w:rsidR="0073745E" w:rsidRDefault="0073745E" w:rsidP="003D4910">
      <w:pPr>
        <w:pStyle w:val="Zkladntext"/>
        <w:rPr>
          <w:rFonts w:ascii="Verdana" w:eastAsia="Calibri" w:hAnsi="Verdana"/>
          <w:sz w:val="20"/>
          <w:szCs w:val="20"/>
        </w:rPr>
      </w:pPr>
    </w:p>
    <w:p w:rsidR="0073745E" w:rsidRDefault="0073745E" w:rsidP="003D4910">
      <w:pPr>
        <w:pStyle w:val="Zkladntext"/>
        <w:rPr>
          <w:rFonts w:ascii="Verdana" w:eastAsia="Calibri" w:hAnsi="Verdana"/>
          <w:sz w:val="20"/>
          <w:szCs w:val="20"/>
        </w:rPr>
      </w:pPr>
    </w:p>
    <w:p w:rsidR="0073745E" w:rsidRDefault="001E4471" w:rsidP="003D4910">
      <w:pPr>
        <w:pStyle w:val="Zkladntext"/>
        <w:rPr>
          <w:rFonts w:ascii="Verdana" w:eastAsia="Calibri" w:hAnsi="Verdana"/>
          <w:b/>
        </w:rPr>
      </w:pPr>
      <w:r>
        <w:rPr>
          <w:rFonts w:ascii="Verdana" w:eastAsia="Calibri" w:hAnsi="Verdana"/>
          <w:b/>
        </w:rPr>
        <w:t>Seznam tabulek</w:t>
      </w:r>
    </w:p>
    <w:p w:rsidR="008C001C" w:rsidRPr="008C001C" w:rsidRDefault="00BA5D2D">
      <w:pPr>
        <w:pStyle w:val="Obsah1"/>
        <w:tabs>
          <w:tab w:val="left" w:pos="1760"/>
          <w:tab w:val="right" w:leader="dot" w:pos="9062"/>
        </w:tabs>
        <w:rPr>
          <w:rFonts w:asciiTheme="minorHAnsi" w:eastAsiaTheme="minorEastAsia" w:hAnsiTheme="minorHAnsi" w:cstheme="minorBidi"/>
          <w:noProof/>
          <w:sz w:val="16"/>
          <w:szCs w:val="16"/>
        </w:rPr>
      </w:pPr>
      <w:r w:rsidRPr="008C001C">
        <w:rPr>
          <w:sz w:val="16"/>
          <w:szCs w:val="16"/>
        </w:rPr>
        <w:fldChar w:fldCharType="begin"/>
      </w:r>
      <w:r w:rsidR="00472D33" w:rsidRPr="008C001C">
        <w:rPr>
          <w:sz w:val="16"/>
          <w:szCs w:val="16"/>
        </w:rPr>
        <w:instrText xml:space="preserve"> TOC \t "tabulka;1" </w:instrText>
      </w:r>
      <w:r w:rsidRPr="008C001C">
        <w:rPr>
          <w:sz w:val="16"/>
          <w:szCs w:val="16"/>
        </w:rPr>
        <w:fldChar w:fldCharType="separate"/>
      </w:r>
      <w:r w:rsidR="008C001C" w:rsidRPr="008C001C">
        <w:rPr>
          <w:noProof/>
          <w:sz w:val="16"/>
          <w:szCs w:val="16"/>
        </w:rPr>
        <w:t>Tabulka č. 1:</w:t>
      </w:r>
      <w:r w:rsidR="008C001C" w:rsidRPr="008C001C">
        <w:rPr>
          <w:rFonts w:asciiTheme="minorHAnsi" w:eastAsiaTheme="minorEastAsia" w:hAnsiTheme="minorHAnsi" w:cstheme="minorBidi"/>
          <w:noProof/>
          <w:sz w:val="16"/>
          <w:szCs w:val="16"/>
        </w:rPr>
        <w:tab/>
      </w:r>
      <w:r w:rsidR="008C001C" w:rsidRPr="008C001C">
        <w:rPr>
          <w:noProof/>
          <w:sz w:val="16"/>
          <w:szCs w:val="16"/>
        </w:rPr>
        <w:t>Pozemky dle základních kategorií</w:t>
      </w:r>
      <w:r w:rsidR="008C001C" w:rsidRPr="008C001C">
        <w:rPr>
          <w:noProof/>
          <w:sz w:val="16"/>
          <w:szCs w:val="16"/>
        </w:rPr>
        <w:tab/>
      </w:r>
      <w:r w:rsidRPr="008C001C">
        <w:rPr>
          <w:noProof/>
          <w:sz w:val="16"/>
          <w:szCs w:val="16"/>
        </w:rPr>
        <w:fldChar w:fldCharType="begin"/>
      </w:r>
      <w:r w:rsidR="008C001C" w:rsidRPr="008C001C">
        <w:rPr>
          <w:noProof/>
          <w:sz w:val="16"/>
          <w:szCs w:val="16"/>
        </w:rPr>
        <w:instrText xml:space="preserve"> PAGEREF _Toc25758066 \h </w:instrText>
      </w:r>
      <w:r w:rsidRPr="008C001C">
        <w:rPr>
          <w:noProof/>
          <w:sz w:val="16"/>
          <w:szCs w:val="16"/>
        </w:rPr>
      </w:r>
      <w:r w:rsidRPr="008C001C">
        <w:rPr>
          <w:noProof/>
          <w:sz w:val="16"/>
          <w:szCs w:val="16"/>
        </w:rPr>
        <w:fldChar w:fldCharType="separate"/>
      </w:r>
      <w:r w:rsidR="00F07815">
        <w:rPr>
          <w:noProof/>
          <w:sz w:val="16"/>
          <w:szCs w:val="16"/>
        </w:rPr>
        <w:t>13</w:t>
      </w:r>
      <w:r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w:t>
      </w:r>
      <w:r w:rsidRPr="008C001C">
        <w:rPr>
          <w:rFonts w:asciiTheme="minorHAnsi" w:eastAsiaTheme="minorEastAsia" w:hAnsiTheme="minorHAnsi" w:cstheme="minorBidi"/>
          <w:noProof/>
          <w:sz w:val="16"/>
          <w:szCs w:val="16"/>
        </w:rPr>
        <w:tab/>
      </w:r>
      <w:r w:rsidRPr="008C001C">
        <w:rPr>
          <w:noProof/>
          <w:sz w:val="16"/>
          <w:szCs w:val="16"/>
        </w:rPr>
        <w:t>Srovnání účetní hodnoty a odhadu tržní ceny u jednotlivých druhů pozemků</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_Toc25758067 \h </w:instrText>
      </w:r>
      <w:r w:rsidR="00BA5D2D" w:rsidRPr="008C001C">
        <w:rPr>
          <w:noProof/>
          <w:sz w:val="16"/>
          <w:szCs w:val="16"/>
        </w:rPr>
      </w:r>
      <w:r w:rsidR="00BA5D2D" w:rsidRPr="008C001C">
        <w:rPr>
          <w:noProof/>
          <w:sz w:val="16"/>
          <w:szCs w:val="16"/>
        </w:rPr>
        <w:fldChar w:fldCharType="separate"/>
      </w:r>
      <w:r w:rsidR="00F07815">
        <w:rPr>
          <w:noProof/>
          <w:sz w:val="16"/>
          <w:szCs w:val="16"/>
        </w:rPr>
        <w:t>13</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3:</w:t>
      </w:r>
      <w:r w:rsidRPr="008C001C">
        <w:rPr>
          <w:rFonts w:asciiTheme="minorHAnsi" w:eastAsiaTheme="minorEastAsia" w:hAnsiTheme="minorHAnsi" w:cstheme="minorBidi"/>
          <w:noProof/>
          <w:sz w:val="16"/>
          <w:szCs w:val="16"/>
        </w:rPr>
        <w:tab/>
      </w:r>
      <w:r w:rsidRPr="008C001C">
        <w:rPr>
          <w:noProof/>
          <w:sz w:val="16"/>
          <w:szCs w:val="16"/>
        </w:rPr>
        <w:t>Seznam bytových domů v lokalitě Zlatá hora</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_Toc25758068 \h </w:instrText>
      </w:r>
      <w:r w:rsidR="00BA5D2D" w:rsidRPr="008C001C">
        <w:rPr>
          <w:noProof/>
          <w:sz w:val="16"/>
          <w:szCs w:val="16"/>
        </w:rPr>
      </w:r>
      <w:r w:rsidR="00BA5D2D" w:rsidRPr="008C001C">
        <w:rPr>
          <w:noProof/>
          <w:sz w:val="16"/>
          <w:szCs w:val="16"/>
        </w:rPr>
        <w:fldChar w:fldCharType="separate"/>
      </w:r>
      <w:r w:rsidR="00F07815">
        <w:rPr>
          <w:noProof/>
          <w:sz w:val="16"/>
          <w:szCs w:val="16"/>
        </w:rPr>
        <w:t>14</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4:</w:t>
      </w:r>
      <w:r w:rsidRPr="008C001C">
        <w:rPr>
          <w:rFonts w:asciiTheme="minorHAnsi" w:eastAsiaTheme="minorEastAsia" w:hAnsiTheme="minorHAnsi" w:cstheme="minorBidi"/>
          <w:noProof/>
          <w:sz w:val="16"/>
          <w:szCs w:val="16"/>
        </w:rPr>
        <w:tab/>
      </w:r>
      <w:r w:rsidRPr="008C001C">
        <w:rPr>
          <w:noProof/>
          <w:sz w:val="16"/>
          <w:szCs w:val="16"/>
        </w:rPr>
        <w:t>Seznam bytových domů v lokalitě Nádražní</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_Toc25758069 \h </w:instrText>
      </w:r>
      <w:r w:rsidR="00BA5D2D" w:rsidRPr="008C001C">
        <w:rPr>
          <w:noProof/>
          <w:sz w:val="16"/>
          <w:szCs w:val="16"/>
        </w:rPr>
      </w:r>
      <w:r w:rsidR="00BA5D2D" w:rsidRPr="008C001C">
        <w:rPr>
          <w:noProof/>
          <w:sz w:val="16"/>
          <w:szCs w:val="16"/>
        </w:rPr>
        <w:fldChar w:fldCharType="separate"/>
      </w:r>
      <w:r w:rsidR="00F07815">
        <w:rPr>
          <w:noProof/>
          <w:sz w:val="16"/>
          <w:szCs w:val="16"/>
        </w:rPr>
        <w:t>15</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5:</w:t>
      </w:r>
      <w:r w:rsidRPr="008C001C">
        <w:rPr>
          <w:rFonts w:asciiTheme="minorHAnsi" w:eastAsiaTheme="minorEastAsia" w:hAnsiTheme="minorHAnsi" w:cstheme="minorBidi"/>
          <w:noProof/>
          <w:sz w:val="16"/>
          <w:szCs w:val="16"/>
        </w:rPr>
        <w:tab/>
      </w:r>
      <w:r w:rsidRPr="008C001C">
        <w:rPr>
          <w:noProof/>
          <w:sz w:val="16"/>
          <w:szCs w:val="16"/>
        </w:rPr>
        <w:t>Seznam bytových domů v lokalitě Litavská</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_Toc25758070 \h </w:instrText>
      </w:r>
      <w:r w:rsidR="00BA5D2D" w:rsidRPr="008C001C">
        <w:rPr>
          <w:noProof/>
          <w:sz w:val="16"/>
          <w:szCs w:val="16"/>
        </w:rPr>
      </w:r>
      <w:r w:rsidR="00BA5D2D" w:rsidRPr="008C001C">
        <w:rPr>
          <w:noProof/>
          <w:sz w:val="16"/>
          <w:szCs w:val="16"/>
        </w:rPr>
        <w:fldChar w:fldCharType="separate"/>
      </w:r>
      <w:r w:rsidR="00F07815">
        <w:rPr>
          <w:noProof/>
          <w:sz w:val="16"/>
          <w:szCs w:val="16"/>
        </w:rPr>
        <w:t>16</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6:</w:t>
      </w:r>
      <w:r w:rsidRPr="008C001C">
        <w:rPr>
          <w:rFonts w:asciiTheme="minorHAnsi" w:eastAsiaTheme="minorEastAsia" w:hAnsiTheme="minorHAnsi" w:cstheme="minorBidi"/>
          <w:noProof/>
          <w:sz w:val="16"/>
          <w:szCs w:val="16"/>
        </w:rPr>
        <w:tab/>
      </w:r>
      <w:r w:rsidRPr="008C001C">
        <w:rPr>
          <w:noProof/>
          <w:sz w:val="16"/>
          <w:szCs w:val="16"/>
        </w:rPr>
        <w:t>Seznam bytových domů v centru</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_Toc25758071 \h </w:instrText>
      </w:r>
      <w:r w:rsidR="00BA5D2D" w:rsidRPr="008C001C">
        <w:rPr>
          <w:noProof/>
          <w:sz w:val="16"/>
          <w:szCs w:val="16"/>
        </w:rPr>
      </w:r>
      <w:r w:rsidR="00BA5D2D" w:rsidRPr="008C001C">
        <w:rPr>
          <w:noProof/>
          <w:sz w:val="16"/>
          <w:szCs w:val="16"/>
        </w:rPr>
        <w:fldChar w:fldCharType="separate"/>
      </w:r>
      <w:r w:rsidR="00F07815">
        <w:rPr>
          <w:noProof/>
          <w:sz w:val="16"/>
          <w:szCs w:val="16"/>
        </w:rPr>
        <w:t>17</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7:</w:t>
      </w:r>
      <w:r w:rsidRPr="008C001C">
        <w:rPr>
          <w:rFonts w:asciiTheme="minorHAnsi" w:eastAsiaTheme="minorEastAsia" w:hAnsiTheme="minorHAnsi" w:cstheme="minorBidi"/>
          <w:noProof/>
          <w:sz w:val="16"/>
          <w:szCs w:val="16"/>
        </w:rPr>
        <w:tab/>
      </w:r>
      <w:r w:rsidRPr="008C001C">
        <w:rPr>
          <w:noProof/>
          <w:sz w:val="16"/>
          <w:szCs w:val="16"/>
        </w:rPr>
        <w:t>Seznam ostatních budov a staveb</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_Toc25758072 \h </w:instrText>
      </w:r>
      <w:r w:rsidR="00BA5D2D" w:rsidRPr="008C001C">
        <w:rPr>
          <w:noProof/>
          <w:sz w:val="16"/>
          <w:szCs w:val="16"/>
        </w:rPr>
      </w:r>
      <w:r w:rsidR="00BA5D2D" w:rsidRPr="008C001C">
        <w:rPr>
          <w:noProof/>
          <w:sz w:val="16"/>
          <w:szCs w:val="16"/>
        </w:rPr>
        <w:fldChar w:fldCharType="separate"/>
      </w:r>
      <w:r w:rsidR="00F07815">
        <w:rPr>
          <w:noProof/>
          <w:sz w:val="16"/>
          <w:szCs w:val="16"/>
        </w:rPr>
        <w:t>18</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8:</w:t>
      </w:r>
      <w:r w:rsidRPr="008C001C">
        <w:rPr>
          <w:rFonts w:asciiTheme="minorHAnsi" w:eastAsiaTheme="minorEastAsia" w:hAnsiTheme="minorHAnsi" w:cstheme="minorBidi"/>
          <w:noProof/>
          <w:sz w:val="16"/>
          <w:szCs w:val="16"/>
        </w:rPr>
        <w:tab/>
      </w:r>
      <w:r w:rsidRPr="008C001C">
        <w:rPr>
          <w:noProof/>
          <w:sz w:val="16"/>
          <w:szCs w:val="16"/>
        </w:rPr>
        <w:t>Komunikace dle stavu</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_Toc25758073 \h </w:instrText>
      </w:r>
      <w:r w:rsidR="00BA5D2D" w:rsidRPr="008C001C">
        <w:rPr>
          <w:noProof/>
          <w:sz w:val="16"/>
          <w:szCs w:val="16"/>
        </w:rPr>
      </w:r>
      <w:r w:rsidR="00BA5D2D" w:rsidRPr="008C001C">
        <w:rPr>
          <w:noProof/>
          <w:sz w:val="16"/>
          <w:szCs w:val="16"/>
        </w:rPr>
        <w:fldChar w:fldCharType="separate"/>
      </w:r>
      <w:r w:rsidR="00F07815">
        <w:rPr>
          <w:noProof/>
          <w:sz w:val="16"/>
          <w:szCs w:val="16"/>
        </w:rPr>
        <w:t>20</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9:</w:t>
      </w:r>
      <w:r w:rsidRPr="008C001C">
        <w:rPr>
          <w:rFonts w:asciiTheme="minorHAnsi" w:eastAsiaTheme="minorEastAsia" w:hAnsiTheme="minorHAnsi" w:cstheme="minorBidi"/>
          <w:noProof/>
          <w:sz w:val="16"/>
          <w:szCs w:val="16"/>
        </w:rPr>
        <w:tab/>
      </w:r>
      <w:r w:rsidRPr="008C001C">
        <w:rPr>
          <w:noProof/>
          <w:sz w:val="16"/>
          <w:szCs w:val="16"/>
        </w:rPr>
        <w:t>Místní komunikace dle umístění (ulic)</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_Toc25758074 \h </w:instrText>
      </w:r>
      <w:r w:rsidR="00BA5D2D" w:rsidRPr="008C001C">
        <w:rPr>
          <w:noProof/>
          <w:sz w:val="16"/>
          <w:szCs w:val="16"/>
        </w:rPr>
      </w:r>
      <w:r w:rsidR="00BA5D2D" w:rsidRPr="008C001C">
        <w:rPr>
          <w:noProof/>
          <w:sz w:val="16"/>
          <w:szCs w:val="16"/>
        </w:rPr>
        <w:fldChar w:fldCharType="separate"/>
      </w:r>
      <w:r w:rsidR="00F07815">
        <w:rPr>
          <w:noProof/>
          <w:sz w:val="16"/>
          <w:szCs w:val="16"/>
        </w:rPr>
        <w:t>20</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10:</w:t>
      </w:r>
      <w:r w:rsidRPr="008C001C">
        <w:rPr>
          <w:rFonts w:asciiTheme="minorHAnsi" w:eastAsiaTheme="minorEastAsia" w:hAnsiTheme="minorHAnsi" w:cstheme="minorBidi"/>
          <w:noProof/>
          <w:sz w:val="16"/>
          <w:szCs w:val="16"/>
        </w:rPr>
        <w:tab/>
      </w:r>
      <w:r w:rsidRPr="008C001C">
        <w:rPr>
          <w:noProof/>
          <w:sz w:val="16"/>
          <w:szCs w:val="16"/>
        </w:rPr>
        <w:t>Ostatní majetek ve vlastnictví města</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_Toc25758075 \h </w:instrText>
      </w:r>
      <w:r w:rsidR="00BA5D2D" w:rsidRPr="008C001C">
        <w:rPr>
          <w:noProof/>
          <w:sz w:val="16"/>
          <w:szCs w:val="16"/>
        </w:rPr>
      </w:r>
      <w:r w:rsidR="00BA5D2D" w:rsidRPr="008C001C">
        <w:rPr>
          <w:noProof/>
          <w:sz w:val="16"/>
          <w:szCs w:val="16"/>
        </w:rPr>
        <w:fldChar w:fldCharType="separate"/>
      </w:r>
      <w:r w:rsidR="00F07815">
        <w:rPr>
          <w:noProof/>
          <w:sz w:val="16"/>
          <w:szCs w:val="16"/>
        </w:rPr>
        <w:t>22</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11:</w:t>
      </w:r>
      <w:r w:rsidRPr="008C001C">
        <w:rPr>
          <w:rFonts w:asciiTheme="minorHAnsi" w:eastAsiaTheme="minorEastAsia" w:hAnsiTheme="minorHAnsi" w:cstheme="minorBidi"/>
          <w:noProof/>
          <w:sz w:val="16"/>
          <w:szCs w:val="16"/>
        </w:rPr>
        <w:tab/>
      </w:r>
      <w:r w:rsidRPr="008C001C">
        <w:rPr>
          <w:noProof/>
          <w:sz w:val="16"/>
          <w:szCs w:val="16"/>
        </w:rPr>
        <w:t>Větší pohyby v držení majetku za posledních 25 let</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_Toc25758076 \h </w:instrText>
      </w:r>
      <w:r w:rsidR="00BA5D2D" w:rsidRPr="008C001C">
        <w:rPr>
          <w:noProof/>
          <w:sz w:val="16"/>
          <w:szCs w:val="16"/>
        </w:rPr>
      </w:r>
      <w:r w:rsidR="00BA5D2D" w:rsidRPr="008C001C">
        <w:rPr>
          <w:noProof/>
          <w:sz w:val="16"/>
          <w:szCs w:val="16"/>
        </w:rPr>
        <w:fldChar w:fldCharType="separate"/>
      </w:r>
      <w:r w:rsidR="00F07815">
        <w:rPr>
          <w:noProof/>
          <w:sz w:val="16"/>
          <w:szCs w:val="16"/>
        </w:rPr>
        <w:t>22</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12:</w:t>
      </w:r>
      <w:r w:rsidRPr="008C001C">
        <w:rPr>
          <w:rFonts w:asciiTheme="minorHAnsi" w:eastAsiaTheme="minorEastAsia" w:hAnsiTheme="minorHAnsi" w:cstheme="minorBidi"/>
          <w:noProof/>
          <w:sz w:val="16"/>
          <w:szCs w:val="16"/>
        </w:rPr>
        <w:tab/>
      </w:r>
      <w:r w:rsidRPr="008C001C">
        <w:rPr>
          <w:noProof/>
          <w:sz w:val="16"/>
          <w:szCs w:val="16"/>
        </w:rPr>
        <w:t>Demografický vývoj za posledních 20 let</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_Toc25758077 \h </w:instrText>
      </w:r>
      <w:r w:rsidR="00BA5D2D" w:rsidRPr="008C001C">
        <w:rPr>
          <w:noProof/>
          <w:sz w:val="16"/>
          <w:szCs w:val="16"/>
        </w:rPr>
      </w:r>
      <w:r w:rsidR="00BA5D2D" w:rsidRPr="008C001C">
        <w:rPr>
          <w:noProof/>
          <w:sz w:val="16"/>
          <w:szCs w:val="16"/>
        </w:rPr>
        <w:fldChar w:fldCharType="separate"/>
      </w:r>
      <w:r w:rsidR="00F07815">
        <w:rPr>
          <w:noProof/>
          <w:sz w:val="16"/>
          <w:szCs w:val="16"/>
        </w:rPr>
        <w:t>24</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13:</w:t>
      </w:r>
      <w:r w:rsidRPr="008C001C">
        <w:rPr>
          <w:rFonts w:asciiTheme="minorHAnsi" w:eastAsiaTheme="minorEastAsia" w:hAnsiTheme="minorHAnsi" w:cstheme="minorBidi"/>
          <w:noProof/>
          <w:sz w:val="16"/>
          <w:szCs w:val="16"/>
        </w:rPr>
        <w:tab/>
      </w:r>
      <w:r w:rsidRPr="008C001C">
        <w:rPr>
          <w:noProof/>
          <w:sz w:val="16"/>
          <w:szCs w:val="16"/>
        </w:rPr>
        <w:t>Nově vybudované bytové jednotky v posledních deseti letech</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_Toc25758078 \h </w:instrText>
      </w:r>
      <w:r w:rsidR="00BA5D2D" w:rsidRPr="008C001C">
        <w:rPr>
          <w:noProof/>
          <w:sz w:val="16"/>
          <w:szCs w:val="16"/>
        </w:rPr>
      </w:r>
      <w:r w:rsidR="00BA5D2D" w:rsidRPr="008C001C">
        <w:rPr>
          <w:noProof/>
          <w:sz w:val="16"/>
          <w:szCs w:val="16"/>
        </w:rPr>
        <w:fldChar w:fldCharType="separate"/>
      </w:r>
      <w:r w:rsidR="00F07815">
        <w:rPr>
          <w:noProof/>
          <w:sz w:val="16"/>
          <w:szCs w:val="16"/>
        </w:rPr>
        <w:t>24</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14:</w:t>
      </w:r>
      <w:r w:rsidRPr="008C001C">
        <w:rPr>
          <w:rFonts w:asciiTheme="minorHAnsi" w:eastAsiaTheme="minorEastAsia" w:hAnsiTheme="minorHAnsi" w:cstheme="minorBidi"/>
          <w:noProof/>
          <w:sz w:val="16"/>
          <w:szCs w:val="16"/>
        </w:rPr>
        <w:tab/>
      </w:r>
      <w:r w:rsidRPr="008C001C">
        <w:rPr>
          <w:noProof/>
          <w:sz w:val="16"/>
          <w:szCs w:val="16"/>
        </w:rPr>
        <w:t>Struktura bytového fondu města při posledním sčítání obyvatel, bytů a domů v r. 2011</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_Toc25758079 \h </w:instrText>
      </w:r>
      <w:r w:rsidR="00BA5D2D" w:rsidRPr="008C001C">
        <w:rPr>
          <w:noProof/>
          <w:sz w:val="16"/>
          <w:szCs w:val="16"/>
        </w:rPr>
      </w:r>
      <w:r w:rsidR="00BA5D2D" w:rsidRPr="008C001C">
        <w:rPr>
          <w:noProof/>
          <w:sz w:val="16"/>
          <w:szCs w:val="16"/>
        </w:rPr>
        <w:fldChar w:fldCharType="separate"/>
      </w:r>
      <w:r w:rsidR="00F07815">
        <w:rPr>
          <w:noProof/>
          <w:sz w:val="16"/>
          <w:szCs w:val="16"/>
        </w:rPr>
        <w:t>25</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15:</w:t>
      </w:r>
      <w:r w:rsidRPr="008C001C">
        <w:rPr>
          <w:rFonts w:asciiTheme="minorHAnsi" w:eastAsiaTheme="minorEastAsia" w:hAnsiTheme="minorHAnsi" w:cstheme="minorBidi"/>
          <w:noProof/>
          <w:sz w:val="16"/>
          <w:szCs w:val="16"/>
        </w:rPr>
        <w:tab/>
      </w:r>
      <w:r w:rsidRPr="008C001C">
        <w:rPr>
          <w:noProof/>
          <w:sz w:val="16"/>
          <w:szCs w:val="16"/>
        </w:rPr>
        <w:t>Bytové jednotky dle vlastníka a typu domu (k 1. 1. 2019)</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_Toc25758080 \h </w:instrText>
      </w:r>
      <w:r w:rsidR="00BA5D2D" w:rsidRPr="008C001C">
        <w:rPr>
          <w:noProof/>
          <w:sz w:val="16"/>
          <w:szCs w:val="16"/>
        </w:rPr>
      </w:r>
      <w:r w:rsidR="00BA5D2D" w:rsidRPr="008C001C">
        <w:rPr>
          <w:noProof/>
          <w:sz w:val="16"/>
          <w:szCs w:val="16"/>
        </w:rPr>
        <w:fldChar w:fldCharType="separate"/>
      </w:r>
      <w:r w:rsidR="00F07815">
        <w:rPr>
          <w:noProof/>
          <w:sz w:val="16"/>
          <w:szCs w:val="16"/>
        </w:rPr>
        <w:t>25</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16:</w:t>
      </w:r>
      <w:r w:rsidRPr="008C001C">
        <w:rPr>
          <w:rFonts w:asciiTheme="minorHAnsi" w:eastAsiaTheme="minorEastAsia" w:hAnsiTheme="minorHAnsi" w:cstheme="minorBidi"/>
          <w:noProof/>
          <w:sz w:val="16"/>
          <w:szCs w:val="16"/>
        </w:rPr>
        <w:tab/>
      </w:r>
      <w:r w:rsidRPr="008C001C">
        <w:rPr>
          <w:noProof/>
          <w:sz w:val="16"/>
          <w:szCs w:val="16"/>
        </w:rPr>
        <w:t>Soupis bytových domů s plochou, byty a nájmy</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_Toc25758081 \h </w:instrText>
      </w:r>
      <w:r w:rsidR="00BA5D2D" w:rsidRPr="008C001C">
        <w:rPr>
          <w:noProof/>
          <w:sz w:val="16"/>
          <w:szCs w:val="16"/>
        </w:rPr>
      </w:r>
      <w:r w:rsidR="00BA5D2D" w:rsidRPr="008C001C">
        <w:rPr>
          <w:noProof/>
          <w:sz w:val="16"/>
          <w:szCs w:val="16"/>
        </w:rPr>
        <w:fldChar w:fldCharType="separate"/>
      </w:r>
      <w:r w:rsidR="00F07815">
        <w:rPr>
          <w:noProof/>
          <w:sz w:val="16"/>
          <w:szCs w:val="16"/>
        </w:rPr>
        <w:t>26</w:t>
      </w:r>
      <w:r w:rsidR="00BA5D2D" w:rsidRPr="008C001C">
        <w:rPr>
          <w:noProof/>
          <w:sz w:val="16"/>
          <w:szCs w:val="16"/>
        </w:rPr>
        <w:fldChar w:fldCharType="end"/>
      </w:r>
    </w:p>
    <w:p w:rsidR="008C001C" w:rsidRPr="008C001C" w:rsidRDefault="008C001C">
      <w:pPr>
        <w:pStyle w:val="Obsah1"/>
        <w:tabs>
          <w:tab w:val="left" w:pos="1770"/>
          <w:tab w:val="right" w:leader="dot" w:pos="9062"/>
        </w:tabs>
        <w:rPr>
          <w:rFonts w:asciiTheme="minorHAnsi" w:eastAsiaTheme="minorEastAsia" w:hAnsiTheme="minorHAnsi" w:cstheme="minorBidi"/>
          <w:noProof/>
          <w:sz w:val="16"/>
          <w:szCs w:val="16"/>
        </w:rPr>
      </w:pPr>
      <w:r w:rsidRPr="008C001C">
        <w:rPr>
          <w:noProof/>
          <w:sz w:val="16"/>
          <w:szCs w:val="16"/>
        </w:rPr>
        <w:t>Tabulka č. 17:</w:t>
      </w:r>
      <w:r w:rsidRPr="008C001C">
        <w:rPr>
          <w:rFonts w:asciiTheme="minorHAnsi" w:eastAsiaTheme="minorEastAsia" w:hAnsiTheme="minorHAnsi" w:cstheme="minorBidi"/>
          <w:noProof/>
          <w:sz w:val="16"/>
          <w:szCs w:val="16"/>
        </w:rPr>
        <w:tab/>
      </w:r>
      <w:r w:rsidRPr="008C001C">
        <w:rPr>
          <w:noProof/>
          <w:sz w:val="16"/>
          <w:szCs w:val="16"/>
        </w:rPr>
        <w:t>Soupis budov s pronajímanými nebytovými prostory, počty nájemců a nájmy</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_Toc25758082 \h </w:instrText>
      </w:r>
      <w:r w:rsidR="00BA5D2D" w:rsidRPr="008C001C">
        <w:rPr>
          <w:noProof/>
          <w:sz w:val="16"/>
          <w:szCs w:val="16"/>
        </w:rPr>
      </w:r>
      <w:r w:rsidR="00BA5D2D" w:rsidRPr="008C001C">
        <w:rPr>
          <w:noProof/>
          <w:sz w:val="16"/>
          <w:szCs w:val="16"/>
        </w:rPr>
        <w:fldChar w:fldCharType="separate"/>
      </w:r>
      <w:r w:rsidR="00F07815">
        <w:rPr>
          <w:noProof/>
          <w:sz w:val="16"/>
          <w:szCs w:val="16"/>
        </w:rPr>
        <w:t>27</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18:</w:t>
      </w:r>
      <w:r w:rsidRPr="008C001C">
        <w:rPr>
          <w:rFonts w:asciiTheme="minorHAnsi" w:eastAsiaTheme="minorEastAsia" w:hAnsiTheme="minorHAnsi" w:cstheme="minorBidi"/>
          <w:noProof/>
          <w:sz w:val="16"/>
          <w:szCs w:val="16"/>
        </w:rPr>
        <w:tab/>
      </w:r>
      <w:r w:rsidRPr="008C001C">
        <w:rPr>
          <w:noProof/>
          <w:sz w:val="16"/>
          <w:szCs w:val="16"/>
        </w:rPr>
        <w:t>Ukazatele velikosti majetku – absolutní hodnoty (v tis. Kč)</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_Toc25758083 \h </w:instrText>
      </w:r>
      <w:r w:rsidR="00BA5D2D" w:rsidRPr="008C001C">
        <w:rPr>
          <w:noProof/>
          <w:sz w:val="16"/>
          <w:szCs w:val="16"/>
        </w:rPr>
      </w:r>
      <w:r w:rsidR="00BA5D2D" w:rsidRPr="008C001C">
        <w:rPr>
          <w:noProof/>
          <w:sz w:val="16"/>
          <w:szCs w:val="16"/>
        </w:rPr>
        <w:fldChar w:fldCharType="separate"/>
      </w:r>
      <w:r w:rsidR="00F07815">
        <w:rPr>
          <w:noProof/>
          <w:sz w:val="16"/>
          <w:szCs w:val="16"/>
        </w:rPr>
        <w:t>30</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19:</w:t>
      </w:r>
      <w:r w:rsidRPr="008C001C">
        <w:rPr>
          <w:rFonts w:asciiTheme="minorHAnsi" w:eastAsiaTheme="minorEastAsia" w:hAnsiTheme="minorHAnsi" w:cstheme="minorBidi"/>
          <w:noProof/>
          <w:sz w:val="16"/>
          <w:szCs w:val="16"/>
        </w:rPr>
        <w:tab/>
      </w:r>
      <w:r w:rsidRPr="008C001C">
        <w:rPr>
          <w:noProof/>
          <w:sz w:val="16"/>
          <w:szCs w:val="16"/>
        </w:rPr>
        <w:t>Ukazatele velikosti majetku vztažené na 1 obyvatele (v Kč)</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_Toc25758084 \h </w:instrText>
      </w:r>
      <w:r w:rsidR="00BA5D2D" w:rsidRPr="008C001C">
        <w:rPr>
          <w:noProof/>
          <w:sz w:val="16"/>
          <w:szCs w:val="16"/>
        </w:rPr>
      </w:r>
      <w:r w:rsidR="00BA5D2D" w:rsidRPr="008C001C">
        <w:rPr>
          <w:noProof/>
          <w:sz w:val="16"/>
          <w:szCs w:val="16"/>
        </w:rPr>
        <w:fldChar w:fldCharType="separate"/>
      </w:r>
      <w:r w:rsidR="00F07815">
        <w:rPr>
          <w:noProof/>
          <w:sz w:val="16"/>
          <w:szCs w:val="16"/>
        </w:rPr>
        <w:t>30</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20:</w:t>
      </w:r>
      <w:r w:rsidRPr="008C001C">
        <w:rPr>
          <w:rFonts w:asciiTheme="minorHAnsi" w:eastAsiaTheme="minorEastAsia" w:hAnsiTheme="minorHAnsi" w:cstheme="minorBidi"/>
          <w:noProof/>
          <w:sz w:val="16"/>
          <w:szCs w:val="16"/>
        </w:rPr>
        <w:tab/>
      </w:r>
      <w:r w:rsidRPr="008C001C">
        <w:rPr>
          <w:noProof/>
          <w:sz w:val="16"/>
          <w:szCs w:val="16"/>
        </w:rPr>
        <w:t>Ukazatele struktury majetku – podíl na aktivech</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_Toc25758085 \h </w:instrText>
      </w:r>
      <w:r w:rsidR="00BA5D2D" w:rsidRPr="008C001C">
        <w:rPr>
          <w:noProof/>
          <w:sz w:val="16"/>
          <w:szCs w:val="16"/>
        </w:rPr>
      </w:r>
      <w:r w:rsidR="00BA5D2D" w:rsidRPr="008C001C">
        <w:rPr>
          <w:noProof/>
          <w:sz w:val="16"/>
          <w:szCs w:val="16"/>
        </w:rPr>
        <w:fldChar w:fldCharType="separate"/>
      </w:r>
      <w:r w:rsidR="00F07815">
        <w:rPr>
          <w:noProof/>
          <w:sz w:val="16"/>
          <w:szCs w:val="16"/>
        </w:rPr>
        <w:t>30</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21:</w:t>
      </w:r>
      <w:r w:rsidRPr="008C001C">
        <w:rPr>
          <w:rFonts w:asciiTheme="minorHAnsi" w:eastAsiaTheme="minorEastAsia" w:hAnsiTheme="minorHAnsi" w:cstheme="minorBidi"/>
          <w:noProof/>
          <w:sz w:val="16"/>
          <w:szCs w:val="16"/>
        </w:rPr>
        <w:tab/>
      </w:r>
      <w:r w:rsidRPr="008C001C">
        <w:rPr>
          <w:noProof/>
          <w:sz w:val="16"/>
          <w:szCs w:val="16"/>
        </w:rPr>
        <w:t>Ukazatele majetkové reprodukce (podílové a absolutní)</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_Toc25758086 \h </w:instrText>
      </w:r>
      <w:r w:rsidR="00BA5D2D" w:rsidRPr="008C001C">
        <w:rPr>
          <w:noProof/>
          <w:sz w:val="16"/>
          <w:szCs w:val="16"/>
        </w:rPr>
      </w:r>
      <w:r w:rsidR="00BA5D2D" w:rsidRPr="008C001C">
        <w:rPr>
          <w:noProof/>
          <w:sz w:val="16"/>
          <w:szCs w:val="16"/>
        </w:rPr>
        <w:fldChar w:fldCharType="separate"/>
      </w:r>
      <w:r w:rsidR="00F07815">
        <w:rPr>
          <w:noProof/>
          <w:sz w:val="16"/>
          <w:szCs w:val="16"/>
        </w:rPr>
        <w:t>31</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22:</w:t>
      </w:r>
      <w:r w:rsidRPr="008C001C">
        <w:rPr>
          <w:rFonts w:asciiTheme="minorHAnsi" w:eastAsiaTheme="minorEastAsia" w:hAnsiTheme="minorHAnsi" w:cstheme="minorBidi"/>
          <w:noProof/>
          <w:sz w:val="16"/>
          <w:szCs w:val="16"/>
        </w:rPr>
        <w:tab/>
      </w:r>
      <w:r w:rsidRPr="008C001C">
        <w:rPr>
          <w:noProof/>
          <w:sz w:val="16"/>
          <w:szCs w:val="16"/>
        </w:rPr>
        <w:t>Ukazatele majetkové bonity</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_Toc25758087 \h </w:instrText>
      </w:r>
      <w:r w:rsidR="00BA5D2D" w:rsidRPr="008C001C">
        <w:rPr>
          <w:noProof/>
          <w:sz w:val="16"/>
          <w:szCs w:val="16"/>
        </w:rPr>
      </w:r>
      <w:r w:rsidR="00BA5D2D" w:rsidRPr="008C001C">
        <w:rPr>
          <w:noProof/>
          <w:sz w:val="16"/>
          <w:szCs w:val="16"/>
        </w:rPr>
        <w:fldChar w:fldCharType="separate"/>
      </w:r>
      <w:r w:rsidR="00F07815">
        <w:rPr>
          <w:noProof/>
          <w:sz w:val="16"/>
          <w:szCs w:val="16"/>
        </w:rPr>
        <w:t>31</w:t>
      </w:r>
      <w:r w:rsidR="00BA5D2D"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23:</w:t>
      </w:r>
      <w:r w:rsidRPr="008C001C">
        <w:rPr>
          <w:rFonts w:asciiTheme="minorHAnsi" w:eastAsiaTheme="minorEastAsia" w:hAnsiTheme="minorHAnsi" w:cstheme="minorBidi"/>
          <w:noProof/>
          <w:sz w:val="16"/>
          <w:szCs w:val="16"/>
        </w:rPr>
        <w:tab/>
      </w:r>
      <w:r w:rsidRPr="008C001C">
        <w:rPr>
          <w:noProof/>
          <w:sz w:val="16"/>
          <w:szCs w:val="16"/>
        </w:rPr>
        <w:t>Srovnání účetní a reálné (odhad) hodnoty</w:t>
      </w:r>
      <w:r w:rsidRPr="008C001C">
        <w:rPr>
          <w:noProof/>
          <w:sz w:val="16"/>
          <w:szCs w:val="16"/>
        </w:rPr>
        <w:tab/>
      </w:r>
      <w:r w:rsidR="00BA5D2D" w:rsidRPr="008C001C">
        <w:rPr>
          <w:noProof/>
          <w:sz w:val="16"/>
          <w:szCs w:val="16"/>
        </w:rPr>
        <w:fldChar w:fldCharType="begin"/>
      </w:r>
      <w:r w:rsidRPr="008C001C">
        <w:rPr>
          <w:noProof/>
          <w:sz w:val="16"/>
          <w:szCs w:val="16"/>
        </w:rPr>
        <w:instrText xml:space="preserve"> PAGEREF _Toc25758088 \h </w:instrText>
      </w:r>
      <w:r w:rsidR="00BA5D2D" w:rsidRPr="008C001C">
        <w:rPr>
          <w:noProof/>
          <w:sz w:val="16"/>
          <w:szCs w:val="16"/>
        </w:rPr>
      </w:r>
      <w:r w:rsidR="00BA5D2D" w:rsidRPr="008C001C">
        <w:rPr>
          <w:noProof/>
          <w:sz w:val="16"/>
          <w:szCs w:val="16"/>
        </w:rPr>
        <w:fldChar w:fldCharType="separate"/>
      </w:r>
      <w:r w:rsidR="00F07815">
        <w:rPr>
          <w:noProof/>
          <w:sz w:val="16"/>
          <w:szCs w:val="16"/>
        </w:rPr>
        <w:t>32</w:t>
      </w:r>
      <w:r w:rsidR="00BA5D2D" w:rsidRPr="008C001C">
        <w:rPr>
          <w:noProof/>
          <w:sz w:val="16"/>
          <w:szCs w:val="16"/>
        </w:rPr>
        <w:fldChar w:fldCharType="end"/>
      </w:r>
    </w:p>
    <w:p w:rsidR="0073745E" w:rsidRPr="0073745E" w:rsidRDefault="00BA5D2D" w:rsidP="003D4910">
      <w:pPr>
        <w:pStyle w:val="Zkladntext"/>
        <w:rPr>
          <w:rFonts w:ascii="Verdana" w:eastAsia="Calibri" w:hAnsi="Verdana"/>
          <w:sz w:val="20"/>
          <w:szCs w:val="20"/>
        </w:rPr>
      </w:pPr>
      <w:r w:rsidRPr="008C001C">
        <w:rPr>
          <w:rFonts w:ascii="Verdana" w:eastAsia="Calibri" w:hAnsi="Verdana"/>
          <w:sz w:val="16"/>
          <w:szCs w:val="16"/>
        </w:rPr>
        <w:fldChar w:fldCharType="end"/>
      </w:r>
    </w:p>
    <w:sectPr w:rsidR="0073745E" w:rsidRPr="0073745E" w:rsidSect="00D8435F">
      <w:headerReference w:type="default" r:id="rId41"/>
      <w:footerReference w:type="default" r:id="rId42"/>
      <w:headerReference w:type="first" r:id="rId43"/>
      <w:pgSz w:w="11906" w:h="16838"/>
      <w:pgMar w:top="1417" w:right="1417" w:bottom="1417" w:left="1417" w:header="680" w:footer="38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2E0E6" w15:done="0"/>
  <w15:commentEx w15:paraId="1B5AD164" w15:done="0"/>
  <w15:commentEx w15:paraId="061FAA4B" w15:done="0"/>
  <w15:commentEx w15:paraId="07D4C53C" w15:done="0"/>
  <w15:commentEx w15:paraId="089F34F0" w15:done="0"/>
  <w15:commentEx w15:paraId="5EBEA01F" w15:done="0"/>
  <w15:commentEx w15:paraId="5211A34C" w15:done="0"/>
  <w15:commentEx w15:paraId="09B272E1" w15:done="0"/>
  <w15:commentEx w15:paraId="1DEDD42B" w15:done="0"/>
  <w15:commentEx w15:paraId="47F13276" w15:done="0"/>
  <w15:commentEx w15:paraId="0B29C597" w15:done="0"/>
  <w15:commentEx w15:paraId="5C8DFAD6" w15:done="0"/>
  <w15:commentEx w15:paraId="27E9143C" w15:done="0"/>
  <w15:commentEx w15:paraId="02E32F00" w15:done="0"/>
  <w15:commentEx w15:paraId="5D6FE9E0" w15:done="0"/>
  <w15:commentEx w15:paraId="296C2C50" w15:done="0"/>
  <w15:commentEx w15:paraId="35ECCF28" w15:done="0"/>
  <w15:commentEx w15:paraId="58D4000E" w15:done="0"/>
  <w15:commentEx w15:paraId="581300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2E0E6" w16cid:durableId="20EC1BF2"/>
  <w16cid:commentId w16cid:paraId="1B5AD164" w16cid:durableId="20EC1BF3"/>
  <w16cid:commentId w16cid:paraId="061FAA4B" w16cid:durableId="20EC1BF4"/>
  <w16cid:commentId w16cid:paraId="07D4C53C" w16cid:durableId="20EC1BF5"/>
  <w16cid:commentId w16cid:paraId="089F34F0" w16cid:durableId="20EC1BF6"/>
  <w16cid:commentId w16cid:paraId="5EBEA01F" w16cid:durableId="20EC1BF7"/>
  <w16cid:commentId w16cid:paraId="5211A34C" w16cid:durableId="20EC1BF8"/>
  <w16cid:commentId w16cid:paraId="09B272E1" w16cid:durableId="20EC1BF9"/>
  <w16cid:commentId w16cid:paraId="1DEDD42B" w16cid:durableId="20EC1BFA"/>
  <w16cid:commentId w16cid:paraId="47F13276" w16cid:durableId="20EC1BFB"/>
  <w16cid:commentId w16cid:paraId="0B29C597" w16cid:durableId="20EC1BFC"/>
  <w16cid:commentId w16cid:paraId="5C8DFAD6" w16cid:durableId="20EC1BFD"/>
  <w16cid:commentId w16cid:paraId="27E9143C" w16cid:durableId="20EC1BFE"/>
  <w16cid:commentId w16cid:paraId="02E32F00" w16cid:durableId="20EC1BFF"/>
  <w16cid:commentId w16cid:paraId="5D6FE9E0" w16cid:durableId="20EC1C00"/>
  <w16cid:commentId w16cid:paraId="296C2C50" w16cid:durableId="20EC1C01"/>
  <w16cid:commentId w16cid:paraId="35ECCF28" w16cid:durableId="20EC1C02"/>
  <w16cid:commentId w16cid:paraId="58D4000E" w16cid:durableId="20EC1C03"/>
  <w16cid:commentId w16cid:paraId="581300B6" w16cid:durableId="20EC1C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B6B" w:rsidRDefault="00E27B6B" w:rsidP="00486ED9">
      <w:pPr>
        <w:spacing w:line="240" w:lineRule="auto"/>
      </w:pPr>
      <w:r>
        <w:separator/>
      </w:r>
    </w:p>
    <w:p w:rsidR="00E27B6B" w:rsidRDefault="00E27B6B"/>
  </w:endnote>
  <w:endnote w:type="continuationSeparator" w:id="0">
    <w:p w:rsidR="00E27B6B" w:rsidRDefault="00E27B6B" w:rsidP="00486ED9">
      <w:pPr>
        <w:spacing w:line="240" w:lineRule="auto"/>
      </w:pPr>
      <w:r>
        <w:continuationSeparator/>
      </w:r>
    </w:p>
    <w:p w:rsidR="00E27B6B" w:rsidRDefault="00E27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EF" w:rsidRPr="00D8435F" w:rsidRDefault="005608EF" w:rsidP="00DF567D">
    <w:pPr>
      <w:pStyle w:val="Zpat"/>
      <w:jc w:val="right"/>
      <w:rPr>
        <w:sz w:val="18"/>
        <w:szCs w:val="18"/>
      </w:rPr>
    </w:pPr>
    <w:r w:rsidRPr="009B1CEA">
      <w:rPr>
        <w:sz w:val="18"/>
        <w:szCs w:val="18"/>
      </w:rPr>
      <w:t>Studie optimalizace využití nemovitého majetku města Slavkov</w:t>
    </w:r>
    <w:r w:rsidRPr="00D8435F">
      <w:rPr>
        <w:sz w:val="18"/>
        <w:szCs w:val="18"/>
      </w:rPr>
      <w:t xml:space="preserve"> </w:t>
    </w:r>
    <w:r w:rsidRPr="00D8435F">
      <w:rPr>
        <w:sz w:val="18"/>
        <w:szCs w:val="18"/>
      </w:rPr>
      <w:tab/>
    </w:r>
    <w:r>
      <w:rPr>
        <w:sz w:val="18"/>
        <w:szCs w:val="18"/>
      </w:rPr>
      <w:t xml:space="preserve">strana </w:t>
    </w:r>
    <w:r w:rsidR="00BA5D2D" w:rsidRPr="00D8435F">
      <w:rPr>
        <w:sz w:val="18"/>
        <w:szCs w:val="18"/>
      </w:rPr>
      <w:fldChar w:fldCharType="begin"/>
    </w:r>
    <w:r w:rsidRPr="00D8435F">
      <w:rPr>
        <w:sz w:val="18"/>
        <w:szCs w:val="18"/>
      </w:rPr>
      <w:instrText xml:space="preserve"> PAGE  \* Arabic  \* MERGEFORMAT </w:instrText>
    </w:r>
    <w:r w:rsidR="00BA5D2D" w:rsidRPr="00D8435F">
      <w:rPr>
        <w:sz w:val="18"/>
        <w:szCs w:val="18"/>
      </w:rPr>
      <w:fldChar w:fldCharType="separate"/>
    </w:r>
    <w:r w:rsidR="00E73EB2">
      <w:rPr>
        <w:noProof/>
        <w:sz w:val="18"/>
        <w:szCs w:val="18"/>
      </w:rPr>
      <w:t>2</w:t>
    </w:r>
    <w:r w:rsidR="00BA5D2D" w:rsidRPr="00D8435F">
      <w:rPr>
        <w:sz w:val="18"/>
        <w:szCs w:val="18"/>
      </w:rPr>
      <w:fldChar w:fldCharType="end"/>
    </w:r>
  </w:p>
  <w:p w:rsidR="005608EF" w:rsidRPr="00AE43AB" w:rsidRDefault="005608EF" w:rsidP="006C4D46">
    <w:pPr>
      <w:pStyle w:val="Zpa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B6B" w:rsidRDefault="00E27B6B" w:rsidP="00486ED9">
      <w:pPr>
        <w:spacing w:line="240" w:lineRule="auto"/>
      </w:pPr>
      <w:r>
        <w:separator/>
      </w:r>
    </w:p>
    <w:p w:rsidR="00E27B6B" w:rsidRDefault="00E27B6B"/>
  </w:footnote>
  <w:footnote w:type="continuationSeparator" w:id="0">
    <w:p w:rsidR="00E27B6B" w:rsidRDefault="00E27B6B" w:rsidP="00486ED9">
      <w:pPr>
        <w:spacing w:line="240" w:lineRule="auto"/>
      </w:pPr>
      <w:r>
        <w:continuationSeparator/>
      </w:r>
    </w:p>
    <w:p w:rsidR="00E27B6B" w:rsidRDefault="00E27B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EF" w:rsidRDefault="005608EF" w:rsidP="00C665BA">
    <w:pPr>
      <w:pStyle w:val="Zhlav"/>
      <w:jc w:val="left"/>
    </w:pPr>
  </w:p>
  <w:p w:rsidR="005608EF" w:rsidRDefault="005608EF" w:rsidP="00C665BA">
    <w:pPr>
      <w:pStyle w:val="Zhlav"/>
      <w:jc w:val="left"/>
    </w:pPr>
  </w:p>
  <w:p w:rsidR="005608EF" w:rsidRPr="00C665BA" w:rsidRDefault="005608EF" w:rsidP="00C665B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EF" w:rsidRDefault="005608EF" w:rsidP="001F11D8">
    <w:pPr>
      <w:pStyle w:val="Zhlav"/>
      <w:jc w:val="left"/>
    </w:pPr>
  </w:p>
  <w:p w:rsidR="005608EF" w:rsidRDefault="005608EF" w:rsidP="001F11D8">
    <w:pPr>
      <w:pStyle w:val="Zhlav"/>
      <w:jc w:val="left"/>
    </w:pPr>
  </w:p>
  <w:p w:rsidR="005608EF" w:rsidRPr="00C665BA" w:rsidRDefault="005608EF" w:rsidP="001F11D8">
    <w:pPr>
      <w:pStyle w:val="Zhlav"/>
    </w:pPr>
  </w:p>
  <w:p w:rsidR="005608EF" w:rsidRDefault="005608EF" w:rsidP="001F11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5275_"/>
      </v:shape>
    </w:pict>
  </w:numPicBullet>
  <w:abstractNum w:abstractNumId="0">
    <w:nsid w:val="0102652B"/>
    <w:multiLevelType w:val="multilevel"/>
    <w:tmpl w:val="97587356"/>
    <w:lvl w:ilvl="0">
      <w:start w:val="1"/>
      <w:numFmt w:val="decimal"/>
      <w:lvlText w:val="%1"/>
      <w:lvlJc w:val="left"/>
      <w:pPr>
        <w:ind w:left="432" w:hanging="432"/>
      </w:pPr>
      <w:rPr>
        <w:rFonts w:cs="Times New Roman" w:hint="default"/>
      </w:rPr>
    </w:lvl>
    <w:lvl w:ilvl="1">
      <w:start w:val="1"/>
      <w:numFmt w:val="decimal"/>
      <w:lvlText w:val="3.%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nsid w:val="0ECD1182"/>
    <w:multiLevelType w:val="hybridMultilevel"/>
    <w:tmpl w:val="A9C09CEA"/>
    <w:lvl w:ilvl="0" w:tplc="DACC6E56">
      <w:start w:val="1"/>
      <w:numFmt w:val="bullet"/>
      <w:lvlText w:val=""/>
      <w:lvlJc w:val="left"/>
      <w:pPr>
        <w:ind w:left="1068" w:hanging="708"/>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841284"/>
    <w:multiLevelType w:val="hybridMultilevel"/>
    <w:tmpl w:val="09D8105A"/>
    <w:lvl w:ilvl="0" w:tplc="FB98C1D2">
      <w:start w:val="1"/>
      <w:numFmt w:val="decimal"/>
      <w:pStyle w:val="Nadpis5"/>
      <w:lvlText w:val="Tabulka č.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720670F"/>
    <w:multiLevelType w:val="hybridMultilevel"/>
    <w:tmpl w:val="F2AEA6CA"/>
    <w:lvl w:ilvl="0" w:tplc="135020B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152801"/>
    <w:multiLevelType w:val="hybridMultilevel"/>
    <w:tmpl w:val="E3943D8C"/>
    <w:lvl w:ilvl="0" w:tplc="978C49CE">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4A20C9C"/>
    <w:multiLevelType w:val="hybridMultilevel"/>
    <w:tmpl w:val="D86A02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B297A9A"/>
    <w:multiLevelType w:val="hybridMultilevel"/>
    <w:tmpl w:val="B392855C"/>
    <w:lvl w:ilvl="0" w:tplc="9494865C">
      <w:start w:val="1"/>
      <w:numFmt w:val="decimal"/>
      <w:pStyle w:val="graf"/>
      <w:lvlText w:val="Graf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
    <w:nsid w:val="2E9016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5C5BB1"/>
    <w:multiLevelType w:val="hybridMultilevel"/>
    <w:tmpl w:val="A9A6E074"/>
    <w:lvl w:ilvl="0" w:tplc="DACC6E56">
      <w:start w:val="1"/>
      <w:numFmt w:val="bullet"/>
      <w:lvlText w:val=""/>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4E23AD"/>
    <w:multiLevelType w:val="hybridMultilevel"/>
    <w:tmpl w:val="958210AE"/>
    <w:lvl w:ilvl="0" w:tplc="AA365246">
      <w:start w:val="1"/>
      <w:numFmt w:val="decimal"/>
      <w:lvlText w:val="%1.1."/>
      <w:lvlJc w:val="left"/>
      <w:pPr>
        <w:ind w:left="720" w:hanging="360"/>
      </w:pPr>
      <w:rPr>
        <w:rFonts w:hint="default"/>
      </w:rPr>
    </w:lvl>
    <w:lvl w:ilvl="1" w:tplc="AA365246">
      <w:start w:val="1"/>
      <w:numFmt w:val="decimal"/>
      <w:lvlText w:val="%2.1."/>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F0A2971"/>
    <w:multiLevelType w:val="multilevel"/>
    <w:tmpl w:val="05FE41B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42950DB5"/>
    <w:multiLevelType w:val="hybridMultilevel"/>
    <w:tmpl w:val="34CE4348"/>
    <w:lvl w:ilvl="0" w:tplc="AA365246">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5050238"/>
    <w:multiLevelType w:val="hybridMultilevel"/>
    <w:tmpl w:val="771261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57E43F4"/>
    <w:multiLevelType w:val="hybridMultilevel"/>
    <w:tmpl w:val="73AE534E"/>
    <w:lvl w:ilvl="0" w:tplc="9716A94C">
      <w:start w:val="1"/>
      <w:numFmt w:val="decimal"/>
      <w:lvlText w:val="Tabulka č. %1:"/>
      <w:lvlJc w:val="left"/>
      <w:pPr>
        <w:ind w:left="206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5D77D49"/>
    <w:multiLevelType w:val="hybridMultilevel"/>
    <w:tmpl w:val="E08E5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7000EDE"/>
    <w:multiLevelType w:val="hybridMultilevel"/>
    <w:tmpl w:val="0F28F4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F362156"/>
    <w:multiLevelType w:val="hybridMultilevel"/>
    <w:tmpl w:val="361E9E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23E4A1E"/>
    <w:multiLevelType w:val="hybridMultilevel"/>
    <w:tmpl w:val="24E02F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556124F"/>
    <w:multiLevelType w:val="multilevel"/>
    <w:tmpl w:val="C95A0186"/>
    <w:lvl w:ilvl="0">
      <w:start w:val="1"/>
      <w:numFmt w:val="decimal"/>
      <w:lvlText w:val="%1"/>
      <w:lvlJc w:val="left"/>
      <w:pPr>
        <w:ind w:left="432" w:hanging="432"/>
      </w:pPr>
      <w:rPr>
        <w:rFonts w:cs="Times New Roman" w:hint="default"/>
      </w:rPr>
    </w:lvl>
    <w:lvl w:ilvl="1">
      <w:start w:val="1"/>
      <w:numFmt w:val="decimal"/>
      <w:lvlText w:val="4.%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nsid w:val="568E50B8"/>
    <w:multiLevelType w:val="hybridMultilevel"/>
    <w:tmpl w:val="F8FED77E"/>
    <w:lvl w:ilvl="0" w:tplc="978C49CE">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AE406A"/>
    <w:multiLevelType w:val="hybridMultilevel"/>
    <w:tmpl w:val="351A91E0"/>
    <w:lvl w:ilvl="0" w:tplc="DACC6E56">
      <w:start w:val="1"/>
      <w:numFmt w:val="bullet"/>
      <w:lvlText w:val=""/>
      <w:lvlJc w:val="left"/>
      <w:pPr>
        <w:ind w:left="720" w:hanging="360"/>
      </w:pPr>
      <w:rPr>
        <w:rFonts w:ascii="Wingdings 2" w:hAnsi="Wingdings 2" w:hint="default"/>
        <w:color w:val="F0AB00"/>
        <w:sz w:val="18"/>
        <w:szCs w:val="18"/>
      </w:rPr>
    </w:lvl>
    <w:lvl w:ilvl="1" w:tplc="E9B08476">
      <w:start w:val="1"/>
      <w:numFmt w:val="bullet"/>
      <w:lvlText w:val="•"/>
      <w:lvlJc w:val="left"/>
      <w:pPr>
        <w:ind w:left="1788" w:hanging="708"/>
      </w:pPr>
      <w:rPr>
        <w:rFonts w:ascii="Verdana" w:eastAsia="Calibri" w:hAnsi="Verdana"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A62198C"/>
    <w:multiLevelType w:val="hybridMultilevel"/>
    <w:tmpl w:val="771261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A744A9B"/>
    <w:multiLevelType w:val="hybridMultilevel"/>
    <w:tmpl w:val="C6AEB1F8"/>
    <w:lvl w:ilvl="0" w:tplc="DACC6E56">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4E11DD"/>
    <w:multiLevelType w:val="hybridMultilevel"/>
    <w:tmpl w:val="E4E6FFAC"/>
    <w:lvl w:ilvl="0" w:tplc="DACC6E56">
      <w:start w:val="1"/>
      <w:numFmt w:val="bullet"/>
      <w:lvlText w:val=""/>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12D5162"/>
    <w:multiLevelType w:val="multilevel"/>
    <w:tmpl w:val="18001E6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4820940"/>
    <w:multiLevelType w:val="hybridMultilevel"/>
    <w:tmpl w:val="17E64A5E"/>
    <w:lvl w:ilvl="0" w:tplc="2CF05C9A">
      <w:start w:val="1"/>
      <w:numFmt w:val="bullet"/>
      <w:pStyle w:val="Odstavecseseznamem"/>
      <w:lvlText w:val="■"/>
      <w:lvlJc w:val="left"/>
      <w:pPr>
        <w:ind w:left="502" w:hanging="360"/>
      </w:pPr>
      <w:rPr>
        <w:rFonts w:ascii="Arial" w:hAnsi="Arial" w:hint="default"/>
        <w:color w:val="9E292B"/>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6CB07099"/>
    <w:multiLevelType w:val="hybridMultilevel"/>
    <w:tmpl w:val="00E48D90"/>
    <w:lvl w:ilvl="0" w:tplc="DACC6E56">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40A61A1"/>
    <w:multiLevelType w:val="hybridMultilevel"/>
    <w:tmpl w:val="7790621E"/>
    <w:lvl w:ilvl="0" w:tplc="DACC6E56">
      <w:start w:val="1"/>
      <w:numFmt w:val="bullet"/>
      <w:lvlText w:val=""/>
      <w:lvlJc w:val="left"/>
      <w:pPr>
        <w:ind w:left="1068" w:hanging="708"/>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2C766B"/>
    <w:multiLevelType w:val="multilevel"/>
    <w:tmpl w:val="CF72E7B4"/>
    <w:lvl w:ilvl="0">
      <w:start w:val="1"/>
      <w:numFmt w:val="decimal"/>
      <w:lvlText w:val="%1."/>
      <w:lvlJc w:val="left"/>
      <w:pPr>
        <w:ind w:left="720" w:hanging="72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
    <w:nsid w:val="790A4F38"/>
    <w:multiLevelType w:val="multilevel"/>
    <w:tmpl w:val="0405001D"/>
    <w:styleLink w:val="Seznamgraf"/>
    <w:lvl w:ilvl="0">
      <w:start w:val="1"/>
      <w:numFmt w:val="decimal"/>
      <w:lvlText w:val="%1"/>
      <w:lvlJc w:val="left"/>
      <w:pPr>
        <w:ind w:left="360" w:hanging="360"/>
      </w:pPr>
      <w:rPr>
        <w:rFonts w:ascii="Times New Roman" w:hAnsi="Times New Roman" w:hint="default"/>
        <w:color w:val="auto"/>
        <w:sz w:val="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E780D27"/>
    <w:multiLevelType w:val="hybridMultilevel"/>
    <w:tmpl w:val="E08E5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25"/>
  </w:num>
  <w:num w:numId="4">
    <w:abstractNumId w:val="6"/>
  </w:num>
  <w:num w:numId="5">
    <w:abstractNumId w:val="29"/>
  </w:num>
  <w:num w:numId="6">
    <w:abstractNumId w:val="28"/>
  </w:num>
  <w:num w:numId="7">
    <w:abstractNumId w:val="27"/>
  </w:num>
  <w:num w:numId="8">
    <w:abstractNumId w:val="10"/>
  </w:num>
  <w:num w:numId="9">
    <w:abstractNumId w:val="23"/>
  </w:num>
  <w:num w:numId="10">
    <w:abstractNumId w:val="16"/>
  </w:num>
  <w:num w:numId="11">
    <w:abstractNumId w:val="24"/>
  </w:num>
  <w:num w:numId="12">
    <w:abstractNumId w:val="5"/>
  </w:num>
  <w:num w:numId="13">
    <w:abstractNumId w:val="20"/>
  </w:num>
  <w:num w:numId="14">
    <w:abstractNumId w:val="1"/>
  </w:num>
  <w:num w:numId="15">
    <w:abstractNumId w:val="25"/>
  </w:num>
  <w:num w:numId="16">
    <w:abstractNumId w:val="25"/>
  </w:num>
  <w:num w:numId="17">
    <w:abstractNumId w:val="25"/>
  </w:num>
  <w:num w:numId="18">
    <w:abstractNumId w:val="25"/>
  </w:num>
  <w:num w:numId="19">
    <w:abstractNumId w:val="18"/>
  </w:num>
  <w:num w:numId="20">
    <w:abstractNumId w:val="25"/>
  </w:num>
  <w:num w:numId="21">
    <w:abstractNumId w:val="7"/>
  </w:num>
  <w:num w:numId="22">
    <w:abstractNumId w:val="25"/>
  </w:num>
  <w:num w:numId="23">
    <w:abstractNumId w:val="25"/>
  </w:num>
  <w:num w:numId="24">
    <w:abstractNumId w:val="25"/>
  </w:num>
  <w:num w:numId="25">
    <w:abstractNumId w:val="11"/>
  </w:num>
  <w:num w:numId="26">
    <w:abstractNumId w:val="9"/>
  </w:num>
  <w:num w:numId="27">
    <w:abstractNumId w:val="25"/>
  </w:num>
  <w:num w:numId="28">
    <w:abstractNumId w:val="15"/>
  </w:num>
  <w:num w:numId="29">
    <w:abstractNumId w:val="30"/>
  </w:num>
  <w:num w:numId="30">
    <w:abstractNumId w:val="25"/>
  </w:num>
  <w:num w:numId="31">
    <w:abstractNumId w:val="25"/>
  </w:num>
  <w:num w:numId="32">
    <w:abstractNumId w:val="13"/>
  </w:num>
  <w:num w:numId="33">
    <w:abstractNumId w:val="8"/>
  </w:num>
  <w:num w:numId="34">
    <w:abstractNumId w:val="3"/>
  </w:num>
  <w:num w:numId="35">
    <w:abstractNumId w:val="4"/>
  </w:num>
  <w:num w:numId="36">
    <w:abstractNumId w:val="22"/>
  </w:num>
  <w:num w:numId="37">
    <w:abstractNumId w:val="26"/>
  </w:num>
  <w:num w:numId="38">
    <w:abstractNumId w:val="21"/>
  </w:num>
  <w:num w:numId="39">
    <w:abstractNumId w:val="25"/>
  </w:num>
  <w:num w:numId="40">
    <w:abstractNumId w:val="25"/>
  </w:num>
  <w:num w:numId="41">
    <w:abstractNumId w:val="19"/>
  </w:num>
  <w:num w:numId="42">
    <w:abstractNumId w:val="14"/>
  </w:num>
  <w:num w:numId="43">
    <w:abstractNumId w:val="12"/>
  </w:num>
  <w:num w:numId="44">
    <w:abstractNumId w:val="25"/>
  </w:num>
  <w:num w:numId="45">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onsecutiveHyphenLimit w:val="1"/>
  <w:hyphenationZone w:val="425"/>
  <w:doNotHyphenateCaps/>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D9"/>
    <w:rsid w:val="00000777"/>
    <w:rsid w:val="00000E40"/>
    <w:rsid w:val="000027ED"/>
    <w:rsid w:val="00002DBA"/>
    <w:rsid w:val="000038E9"/>
    <w:rsid w:val="000073A5"/>
    <w:rsid w:val="00007978"/>
    <w:rsid w:val="00012CCE"/>
    <w:rsid w:val="0001369C"/>
    <w:rsid w:val="00014598"/>
    <w:rsid w:val="00015996"/>
    <w:rsid w:val="00016675"/>
    <w:rsid w:val="00021B7D"/>
    <w:rsid w:val="0002221A"/>
    <w:rsid w:val="000243DB"/>
    <w:rsid w:val="00024E3A"/>
    <w:rsid w:val="00025E13"/>
    <w:rsid w:val="00026AA5"/>
    <w:rsid w:val="0002783F"/>
    <w:rsid w:val="00030298"/>
    <w:rsid w:val="00031044"/>
    <w:rsid w:val="00035039"/>
    <w:rsid w:val="0003715B"/>
    <w:rsid w:val="0003782D"/>
    <w:rsid w:val="00037A8B"/>
    <w:rsid w:val="00040443"/>
    <w:rsid w:val="000410E7"/>
    <w:rsid w:val="00041E26"/>
    <w:rsid w:val="00043FF2"/>
    <w:rsid w:val="0004473A"/>
    <w:rsid w:val="000453A2"/>
    <w:rsid w:val="000456C1"/>
    <w:rsid w:val="00046613"/>
    <w:rsid w:val="00050444"/>
    <w:rsid w:val="00050AA3"/>
    <w:rsid w:val="00051774"/>
    <w:rsid w:val="00051990"/>
    <w:rsid w:val="000546C4"/>
    <w:rsid w:val="00056212"/>
    <w:rsid w:val="00057E3C"/>
    <w:rsid w:val="00060069"/>
    <w:rsid w:val="000609AF"/>
    <w:rsid w:val="00061212"/>
    <w:rsid w:val="00061473"/>
    <w:rsid w:val="00061C04"/>
    <w:rsid w:val="00062888"/>
    <w:rsid w:val="0006315C"/>
    <w:rsid w:val="00063436"/>
    <w:rsid w:val="0006357B"/>
    <w:rsid w:val="00063947"/>
    <w:rsid w:val="00063C43"/>
    <w:rsid w:val="00064384"/>
    <w:rsid w:val="000657FD"/>
    <w:rsid w:val="00065AB3"/>
    <w:rsid w:val="000668DD"/>
    <w:rsid w:val="0007279F"/>
    <w:rsid w:val="0007308F"/>
    <w:rsid w:val="00073125"/>
    <w:rsid w:val="00073A51"/>
    <w:rsid w:val="000747AB"/>
    <w:rsid w:val="000750DA"/>
    <w:rsid w:val="00075D13"/>
    <w:rsid w:val="00077914"/>
    <w:rsid w:val="00081AFD"/>
    <w:rsid w:val="000827CC"/>
    <w:rsid w:val="000846E4"/>
    <w:rsid w:val="000852C9"/>
    <w:rsid w:val="00090A91"/>
    <w:rsid w:val="00090BC8"/>
    <w:rsid w:val="00093100"/>
    <w:rsid w:val="00094DA4"/>
    <w:rsid w:val="00095C36"/>
    <w:rsid w:val="000965FD"/>
    <w:rsid w:val="000978F4"/>
    <w:rsid w:val="00097B42"/>
    <w:rsid w:val="000A0D3C"/>
    <w:rsid w:val="000A0E39"/>
    <w:rsid w:val="000A1500"/>
    <w:rsid w:val="000A1F9C"/>
    <w:rsid w:val="000A200F"/>
    <w:rsid w:val="000A332B"/>
    <w:rsid w:val="000A36A7"/>
    <w:rsid w:val="000A4B0F"/>
    <w:rsid w:val="000A5664"/>
    <w:rsid w:val="000A5831"/>
    <w:rsid w:val="000A688E"/>
    <w:rsid w:val="000B1751"/>
    <w:rsid w:val="000B22C7"/>
    <w:rsid w:val="000B2982"/>
    <w:rsid w:val="000B3342"/>
    <w:rsid w:val="000B3A66"/>
    <w:rsid w:val="000B451B"/>
    <w:rsid w:val="000B50D6"/>
    <w:rsid w:val="000B5ACD"/>
    <w:rsid w:val="000C00E9"/>
    <w:rsid w:val="000C0103"/>
    <w:rsid w:val="000C068A"/>
    <w:rsid w:val="000C13D6"/>
    <w:rsid w:val="000C3D3C"/>
    <w:rsid w:val="000C3DB2"/>
    <w:rsid w:val="000C48AF"/>
    <w:rsid w:val="000C4FDB"/>
    <w:rsid w:val="000C554C"/>
    <w:rsid w:val="000C6DE7"/>
    <w:rsid w:val="000D1E89"/>
    <w:rsid w:val="000D2B8A"/>
    <w:rsid w:val="000D2F0C"/>
    <w:rsid w:val="000D3215"/>
    <w:rsid w:val="000D3B09"/>
    <w:rsid w:val="000D5C99"/>
    <w:rsid w:val="000D6AC8"/>
    <w:rsid w:val="000E0D88"/>
    <w:rsid w:val="000E0DC0"/>
    <w:rsid w:val="000E3AF0"/>
    <w:rsid w:val="000E3E01"/>
    <w:rsid w:val="000E400E"/>
    <w:rsid w:val="000E5B1C"/>
    <w:rsid w:val="000E63DD"/>
    <w:rsid w:val="000E6996"/>
    <w:rsid w:val="000F1ACA"/>
    <w:rsid w:val="000F268E"/>
    <w:rsid w:val="000F3A80"/>
    <w:rsid w:val="000F4580"/>
    <w:rsid w:val="000F55B2"/>
    <w:rsid w:val="000F74D3"/>
    <w:rsid w:val="00101291"/>
    <w:rsid w:val="00102541"/>
    <w:rsid w:val="00103752"/>
    <w:rsid w:val="00105478"/>
    <w:rsid w:val="00111E16"/>
    <w:rsid w:val="00112263"/>
    <w:rsid w:val="00112699"/>
    <w:rsid w:val="00112F01"/>
    <w:rsid w:val="00113ABD"/>
    <w:rsid w:val="00113FEF"/>
    <w:rsid w:val="001142C5"/>
    <w:rsid w:val="00114B41"/>
    <w:rsid w:val="0012039C"/>
    <w:rsid w:val="001207EC"/>
    <w:rsid w:val="00120D30"/>
    <w:rsid w:val="00121D44"/>
    <w:rsid w:val="00122208"/>
    <w:rsid w:val="00122780"/>
    <w:rsid w:val="0012648C"/>
    <w:rsid w:val="00130CC9"/>
    <w:rsid w:val="00130EDC"/>
    <w:rsid w:val="00131009"/>
    <w:rsid w:val="001312E8"/>
    <w:rsid w:val="00133CC9"/>
    <w:rsid w:val="00140256"/>
    <w:rsid w:val="001412B7"/>
    <w:rsid w:val="00141843"/>
    <w:rsid w:val="0014232A"/>
    <w:rsid w:val="001429FD"/>
    <w:rsid w:val="00142C36"/>
    <w:rsid w:val="001435D2"/>
    <w:rsid w:val="00145379"/>
    <w:rsid w:val="00145CA3"/>
    <w:rsid w:val="001464B4"/>
    <w:rsid w:val="00147882"/>
    <w:rsid w:val="00147998"/>
    <w:rsid w:val="00150D7E"/>
    <w:rsid w:val="001511A9"/>
    <w:rsid w:val="001538E0"/>
    <w:rsid w:val="00156008"/>
    <w:rsid w:val="00157766"/>
    <w:rsid w:val="001607A8"/>
    <w:rsid w:val="00160FFF"/>
    <w:rsid w:val="00161D43"/>
    <w:rsid w:val="00162531"/>
    <w:rsid w:val="00163012"/>
    <w:rsid w:val="001650C2"/>
    <w:rsid w:val="001679D2"/>
    <w:rsid w:val="00171166"/>
    <w:rsid w:val="0017304B"/>
    <w:rsid w:val="001734A5"/>
    <w:rsid w:val="001747CE"/>
    <w:rsid w:val="00174AF0"/>
    <w:rsid w:val="001773BF"/>
    <w:rsid w:val="00180A4D"/>
    <w:rsid w:val="00180D26"/>
    <w:rsid w:val="00181906"/>
    <w:rsid w:val="00181BA9"/>
    <w:rsid w:val="00185338"/>
    <w:rsid w:val="00187692"/>
    <w:rsid w:val="001907D8"/>
    <w:rsid w:val="00191A87"/>
    <w:rsid w:val="00192A34"/>
    <w:rsid w:val="00193CCF"/>
    <w:rsid w:val="001968FD"/>
    <w:rsid w:val="00196B33"/>
    <w:rsid w:val="001A26CC"/>
    <w:rsid w:val="001A39CE"/>
    <w:rsid w:val="001A5093"/>
    <w:rsid w:val="001A725B"/>
    <w:rsid w:val="001B0A94"/>
    <w:rsid w:val="001B1282"/>
    <w:rsid w:val="001B2851"/>
    <w:rsid w:val="001B2BCE"/>
    <w:rsid w:val="001B44B2"/>
    <w:rsid w:val="001B6FAF"/>
    <w:rsid w:val="001C0B65"/>
    <w:rsid w:val="001C2291"/>
    <w:rsid w:val="001C2650"/>
    <w:rsid w:val="001C2E51"/>
    <w:rsid w:val="001C4C83"/>
    <w:rsid w:val="001C4CBB"/>
    <w:rsid w:val="001C7558"/>
    <w:rsid w:val="001C7C04"/>
    <w:rsid w:val="001C7D9B"/>
    <w:rsid w:val="001D182B"/>
    <w:rsid w:val="001D21E5"/>
    <w:rsid w:val="001D2E8E"/>
    <w:rsid w:val="001D4941"/>
    <w:rsid w:val="001D5750"/>
    <w:rsid w:val="001D5DB8"/>
    <w:rsid w:val="001E08E5"/>
    <w:rsid w:val="001E1B8B"/>
    <w:rsid w:val="001E204C"/>
    <w:rsid w:val="001E21E5"/>
    <w:rsid w:val="001E2CF8"/>
    <w:rsid w:val="001E4345"/>
    <w:rsid w:val="001E4471"/>
    <w:rsid w:val="001E4908"/>
    <w:rsid w:val="001E4D41"/>
    <w:rsid w:val="001E51D1"/>
    <w:rsid w:val="001E52BB"/>
    <w:rsid w:val="001E58BE"/>
    <w:rsid w:val="001E5B9B"/>
    <w:rsid w:val="001E6DC3"/>
    <w:rsid w:val="001F0190"/>
    <w:rsid w:val="001F11D8"/>
    <w:rsid w:val="001F230F"/>
    <w:rsid w:val="001F2772"/>
    <w:rsid w:val="001F2F3F"/>
    <w:rsid w:val="001F3293"/>
    <w:rsid w:val="001F3610"/>
    <w:rsid w:val="001F5F4D"/>
    <w:rsid w:val="001F67F9"/>
    <w:rsid w:val="001F7291"/>
    <w:rsid w:val="0020197D"/>
    <w:rsid w:val="00201FFC"/>
    <w:rsid w:val="00204494"/>
    <w:rsid w:val="00205CF3"/>
    <w:rsid w:val="00211122"/>
    <w:rsid w:val="0021138B"/>
    <w:rsid w:val="002135E0"/>
    <w:rsid w:val="00213C0C"/>
    <w:rsid w:val="00213DCC"/>
    <w:rsid w:val="00215609"/>
    <w:rsid w:val="00216767"/>
    <w:rsid w:val="00216EF9"/>
    <w:rsid w:val="00220F2A"/>
    <w:rsid w:val="002215EF"/>
    <w:rsid w:val="00221F09"/>
    <w:rsid w:val="0022328D"/>
    <w:rsid w:val="00223A9E"/>
    <w:rsid w:val="00223D8B"/>
    <w:rsid w:val="00225305"/>
    <w:rsid w:val="00225811"/>
    <w:rsid w:val="00226168"/>
    <w:rsid w:val="0022643B"/>
    <w:rsid w:val="0022653C"/>
    <w:rsid w:val="00226A9A"/>
    <w:rsid w:val="00227088"/>
    <w:rsid w:val="00227275"/>
    <w:rsid w:val="00227444"/>
    <w:rsid w:val="00227A8D"/>
    <w:rsid w:val="00230729"/>
    <w:rsid w:val="00230F09"/>
    <w:rsid w:val="0023262E"/>
    <w:rsid w:val="002330C5"/>
    <w:rsid w:val="00233427"/>
    <w:rsid w:val="00234578"/>
    <w:rsid w:val="00234931"/>
    <w:rsid w:val="0023590D"/>
    <w:rsid w:val="00240252"/>
    <w:rsid w:val="00240A86"/>
    <w:rsid w:val="0024133C"/>
    <w:rsid w:val="00242A6D"/>
    <w:rsid w:val="002445E9"/>
    <w:rsid w:val="002447B4"/>
    <w:rsid w:val="00245713"/>
    <w:rsid w:val="0024714C"/>
    <w:rsid w:val="00250003"/>
    <w:rsid w:val="0025003C"/>
    <w:rsid w:val="00252746"/>
    <w:rsid w:val="00252E9F"/>
    <w:rsid w:val="0025363B"/>
    <w:rsid w:val="00254C36"/>
    <w:rsid w:val="00256600"/>
    <w:rsid w:val="00257D41"/>
    <w:rsid w:val="00264648"/>
    <w:rsid w:val="00271A0B"/>
    <w:rsid w:val="00272893"/>
    <w:rsid w:val="00272AAD"/>
    <w:rsid w:val="00272C35"/>
    <w:rsid w:val="00273CF5"/>
    <w:rsid w:val="00275392"/>
    <w:rsid w:val="002754EC"/>
    <w:rsid w:val="00275E3E"/>
    <w:rsid w:val="00276B82"/>
    <w:rsid w:val="0027796F"/>
    <w:rsid w:val="00277AA2"/>
    <w:rsid w:val="00280DE7"/>
    <w:rsid w:val="00280F85"/>
    <w:rsid w:val="00281C3B"/>
    <w:rsid w:val="00283373"/>
    <w:rsid w:val="00283D9D"/>
    <w:rsid w:val="00287E32"/>
    <w:rsid w:val="00292184"/>
    <w:rsid w:val="00293194"/>
    <w:rsid w:val="002934AC"/>
    <w:rsid w:val="00293BE3"/>
    <w:rsid w:val="00294136"/>
    <w:rsid w:val="002962E0"/>
    <w:rsid w:val="0029705E"/>
    <w:rsid w:val="002979BF"/>
    <w:rsid w:val="00297A5B"/>
    <w:rsid w:val="002A164D"/>
    <w:rsid w:val="002A3285"/>
    <w:rsid w:val="002A45C5"/>
    <w:rsid w:val="002A54F1"/>
    <w:rsid w:val="002A63CF"/>
    <w:rsid w:val="002A7B96"/>
    <w:rsid w:val="002B2AB0"/>
    <w:rsid w:val="002B2E28"/>
    <w:rsid w:val="002B3F76"/>
    <w:rsid w:val="002B3FB4"/>
    <w:rsid w:val="002B4984"/>
    <w:rsid w:val="002C1748"/>
    <w:rsid w:val="002C1B0B"/>
    <w:rsid w:val="002C3356"/>
    <w:rsid w:val="002C5969"/>
    <w:rsid w:val="002C61DF"/>
    <w:rsid w:val="002C66AA"/>
    <w:rsid w:val="002C6AF0"/>
    <w:rsid w:val="002C7A30"/>
    <w:rsid w:val="002D1386"/>
    <w:rsid w:val="002D2565"/>
    <w:rsid w:val="002D3593"/>
    <w:rsid w:val="002D38AB"/>
    <w:rsid w:val="002D4508"/>
    <w:rsid w:val="002D54C1"/>
    <w:rsid w:val="002D5B08"/>
    <w:rsid w:val="002E0242"/>
    <w:rsid w:val="002E2510"/>
    <w:rsid w:val="002E2FF3"/>
    <w:rsid w:val="002E392A"/>
    <w:rsid w:val="002E52EE"/>
    <w:rsid w:val="002E5CBB"/>
    <w:rsid w:val="002E7618"/>
    <w:rsid w:val="002F00E4"/>
    <w:rsid w:val="002F06C8"/>
    <w:rsid w:val="002F1A52"/>
    <w:rsid w:val="002F4C80"/>
    <w:rsid w:val="002F5AAB"/>
    <w:rsid w:val="002F6887"/>
    <w:rsid w:val="0030187D"/>
    <w:rsid w:val="00301BD0"/>
    <w:rsid w:val="0030396C"/>
    <w:rsid w:val="003042B4"/>
    <w:rsid w:val="003065AD"/>
    <w:rsid w:val="0030793F"/>
    <w:rsid w:val="00307A32"/>
    <w:rsid w:val="00307A75"/>
    <w:rsid w:val="0031214B"/>
    <w:rsid w:val="0031612D"/>
    <w:rsid w:val="0031782D"/>
    <w:rsid w:val="00317D54"/>
    <w:rsid w:val="00320914"/>
    <w:rsid w:val="00321030"/>
    <w:rsid w:val="00322E8C"/>
    <w:rsid w:val="0032580B"/>
    <w:rsid w:val="00325CA7"/>
    <w:rsid w:val="00325ED2"/>
    <w:rsid w:val="003263C3"/>
    <w:rsid w:val="00327127"/>
    <w:rsid w:val="00330BB5"/>
    <w:rsid w:val="0033187E"/>
    <w:rsid w:val="003347DE"/>
    <w:rsid w:val="00334C1F"/>
    <w:rsid w:val="00335E20"/>
    <w:rsid w:val="0034044F"/>
    <w:rsid w:val="00344707"/>
    <w:rsid w:val="003470BC"/>
    <w:rsid w:val="00350903"/>
    <w:rsid w:val="003516B5"/>
    <w:rsid w:val="00351757"/>
    <w:rsid w:val="00356765"/>
    <w:rsid w:val="00357991"/>
    <w:rsid w:val="00357DF6"/>
    <w:rsid w:val="00361B20"/>
    <w:rsid w:val="00363673"/>
    <w:rsid w:val="00364431"/>
    <w:rsid w:val="00365C65"/>
    <w:rsid w:val="003665FD"/>
    <w:rsid w:val="00371B59"/>
    <w:rsid w:val="003729A8"/>
    <w:rsid w:val="00372E53"/>
    <w:rsid w:val="00377DF6"/>
    <w:rsid w:val="003806B1"/>
    <w:rsid w:val="00380D5E"/>
    <w:rsid w:val="003810B1"/>
    <w:rsid w:val="00381A5F"/>
    <w:rsid w:val="00382A2A"/>
    <w:rsid w:val="00383CFF"/>
    <w:rsid w:val="00384E85"/>
    <w:rsid w:val="003855E6"/>
    <w:rsid w:val="00390BF5"/>
    <w:rsid w:val="00390E82"/>
    <w:rsid w:val="003913BC"/>
    <w:rsid w:val="00392287"/>
    <w:rsid w:val="003935C3"/>
    <w:rsid w:val="00393CF0"/>
    <w:rsid w:val="00393F68"/>
    <w:rsid w:val="00394239"/>
    <w:rsid w:val="00396C4F"/>
    <w:rsid w:val="003A03F9"/>
    <w:rsid w:val="003A2720"/>
    <w:rsid w:val="003A5099"/>
    <w:rsid w:val="003A5763"/>
    <w:rsid w:val="003A6659"/>
    <w:rsid w:val="003A7565"/>
    <w:rsid w:val="003A7B4A"/>
    <w:rsid w:val="003B254F"/>
    <w:rsid w:val="003B2597"/>
    <w:rsid w:val="003B3980"/>
    <w:rsid w:val="003B4559"/>
    <w:rsid w:val="003B7BEF"/>
    <w:rsid w:val="003C00D8"/>
    <w:rsid w:val="003C0692"/>
    <w:rsid w:val="003C0D40"/>
    <w:rsid w:val="003C0E83"/>
    <w:rsid w:val="003C12A1"/>
    <w:rsid w:val="003C2603"/>
    <w:rsid w:val="003C3104"/>
    <w:rsid w:val="003C341B"/>
    <w:rsid w:val="003D12CE"/>
    <w:rsid w:val="003D1420"/>
    <w:rsid w:val="003D1955"/>
    <w:rsid w:val="003D4910"/>
    <w:rsid w:val="003D4BC1"/>
    <w:rsid w:val="003E08C9"/>
    <w:rsid w:val="003E1F1C"/>
    <w:rsid w:val="003E2126"/>
    <w:rsid w:val="003E5CFF"/>
    <w:rsid w:val="003F041D"/>
    <w:rsid w:val="003F12D2"/>
    <w:rsid w:val="003F1559"/>
    <w:rsid w:val="003F1A3B"/>
    <w:rsid w:val="003F2F67"/>
    <w:rsid w:val="003F4201"/>
    <w:rsid w:val="0040224E"/>
    <w:rsid w:val="004022FA"/>
    <w:rsid w:val="0040651D"/>
    <w:rsid w:val="004071B6"/>
    <w:rsid w:val="004072A7"/>
    <w:rsid w:val="004126FA"/>
    <w:rsid w:val="00412DCE"/>
    <w:rsid w:val="004222F6"/>
    <w:rsid w:val="004226D5"/>
    <w:rsid w:val="00422C36"/>
    <w:rsid w:val="0042531F"/>
    <w:rsid w:val="00427216"/>
    <w:rsid w:val="00427DCA"/>
    <w:rsid w:val="00434E3E"/>
    <w:rsid w:val="004352AF"/>
    <w:rsid w:val="00435750"/>
    <w:rsid w:val="00436B4D"/>
    <w:rsid w:val="00437A7A"/>
    <w:rsid w:val="00440969"/>
    <w:rsid w:val="00443377"/>
    <w:rsid w:val="0044563E"/>
    <w:rsid w:val="00445C2B"/>
    <w:rsid w:val="00445EB8"/>
    <w:rsid w:val="004472A7"/>
    <w:rsid w:val="004478BB"/>
    <w:rsid w:val="00451EDA"/>
    <w:rsid w:val="004530A1"/>
    <w:rsid w:val="0045340D"/>
    <w:rsid w:val="0045488D"/>
    <w:rsid w:val="004574A8"/>
    <w:rsid w:val="004576F5"/>
    <w:rsid w:val="00460690"/>
    <w:rsid w:val="0046166C"/>
    <w:rsid w:val="0046179A"/>
    <w:rsid w:val="0046206D"/>
    <w:rsid w:val="00464459"/>
    <w:rsid w:val="00466266"/>
    <w:rsid w:val="0046738C"/>
    <w:rsid w:val="00467B6D"/>
    <w:rsid w:val="004701A3"/>
    <w:rsid w:val="00470A8A"/>
    <w:rsid w:val="00471EFF"/>
    <w:rsid w:val="00472CBE"/>
    <w:rsid w:val="00472D33"/>
    <w:rsid w:val="004730E7"/>
    <w:rsid w:val="0047394F"/>
    <w:rsid w:val="004744E7"/>
    <w:rsid w:val="00474D58"/>
    <w:rsid w:val="00475AD1"/>
    <w:rsid w:val="004769A6"/>
    <w:rsid w:val="00477466"/>
    <w:rsid w:val="0047768D"/>
    <w:rsid w:val="00484079"/>
    <w:rsid w:val="0048431E"/>
    <w:rsid w:val="00484446"/>
    <w:rsid w:val="00484CA5"/>
    <w:rsid w:val="00485992"/>
    <w:rsid w:val="00486ED9"/>
    <w:rsid w:val="00486F5B"/>
    <w:rsid w:val="004905BD"/>
    <w:rsid w:val="00491A42"/>
    <w:rsid w:val="0049384E"/>
    <w:rsid w:val="0049412C"/>
    <w:rsid w:val="004A08F3"/>
    <w:rsid w:val="004A25AC"/>
    <w:rsid w:val="004A2857"/>
    <w:rsid w:val="004A397C"/>
    <w:rsid w:val="004B00D4"/>
    <w:rsid w:val="004B1B53"/>
    <w:rsid w:val="004B2B53"/>
    <w:rsid w:val="004B327C"/>
    <w:rsid w:val="004B382F"/>
    <w:rsid w:val="004B5054"/>
    <w:rsid w:val="004B7461"/>
    <w:rsid w:val="004B785A"/>
    <w:rsid w:val="004C07EB"/>
    <w:rsid w:val="004C2513"/>
    <w:rsid w:val="004C5E20"/>
    <w:rsid w:val="004D0795"/>
    <w:rsid w:val="004D1AB8"/>
    <w:rsid w:val="004D2A6F"/>
    <w:rsid w:val="004D2EAC"/>
    <w:rsid w:val="004D36BD"/>
    <w:rsid w:val="004D3A3C"/>
    <w:rsid w:val="004D3BAE"/>
    <w:rsid w:val="004D3BCA"/>
    <w:rsid w:val="004E084F"/>
    <w:rsid w:val="004E1820"/>
    <w:rsid w:val="004E33FA"/>
    <w:rsid w:val="004E42A8"/>
    <w:rsid w:val="004E43BE"/>
    <w:rsid w:val="004E6BEE"/>
    <w:rsid w:val="004E77EF"/>
    <w:rsid w:val="004E7BBF"/>
    <w:rsid w:val="004F0A15"/>
    <w:rsid w:val="004F1B63"/>
    <w:rsid w:val="004F1D60"/>
    <w:rsid w:val="004F1DC3"/>
    <w:rsid w:val="004F2F78"/>
    <w:rsid w:val="004F43EE"/>
    <w:rsid w:val="004F4D19"/>
    <w:rsid w:val="004F5E9A"/>
    <w:rsid w:val="004F7529"/>
    <w:rsid w:val="00500333"/>
    <w:rsid w:val="00500DAD"/>
    <w:rsid w:val="0050442C"/>
    <w:rsid w:val="005065C0"/>
    <w:rsid w:val="00507356"/>
    <w:rsid w:val="0050787E"/>
    <w:rsid w:val="00511782"/>
    <w:rsid w:val="00512443"/>
    <w:rsid w:val="005125C8"/>
    <w:rsid w:val="00512E5A"/>
    <w:rsid w:val="00513009"/>
    <w:rsid w:val="005148B6"/>
    <w:rsid w:val="00515CB3"/>
    <w:rsid w:val="0051701E"/>
    <w:rsid w:val="0052087C"/>
    <w:rsid w:val="00522475"/>
    <w:rsid w:val="00522D3D"/>
    <w:rsid w:val="005239B1"/>
    <w:rsid w:val="00523C62"/>
    <w:rsid w:val="00523DF0"/>
    <w:rsid w:val="0052454E"/>
    <w:rsid w:val="005278C6"/>
    <w:rsid w:val="00527EC5"/>
    <w:rsid w:val="00531BA3"/>
    <w:rsid w:val="00532746"/>
    <w:rsid w:val="00532921"/>
    <w:rsid w:val="00533C4A"/>
    <w:rsid w:val="005346F5"/>
    <w:rsid w:val="005361A3"/>
    <w:rsid w:val="00536224"/>
    <w:rsid w:val="00536B4B"/>
    <w:rsid w:val="0054096E"/>
    <w:rsid w:val="00540BE3"/>
    <w:rsid w:val="0054376D"/>
    <w:rsid w:val="00544F1D"/>
    <w:rsid w:val="005472B8"/>
    <w:rsid w:val="00552139"/>
    <w:rsid w:val="00552785"/>
    <w:rsid w:val="00554924"/>
    <w:rsid w:val="005556AE"/>
    <w:rsid w:val="0055750B"/>
    <w:rsid w:val="005579D5"/>
    <w:rsid w:val="00557CE9"/>
    <w:rsid w:val="005608EF"/>
    <w:rsid w:val="0056224F"/>
    <w:rsid w:val="00562DEC"/>
    <w:rsid w:val="00562EC8"/>
    <w:rsid w:val="005645AB"/>
    <w:rsid w:val="00564F07"/>
    <w:rsid w:val="005650D7"/>
    <w:rsid w:val="00566660"/>
    <w:rsid w:val="005670E8"/>
    <w:rsid w:val="00567523"/>
    <w:rsid w:val="00567C2D"/>
    <w:rsid w:val="005704EE"/>
    <w:rsid w:val="00572FBE"/>
    <w:rsid w:val="0057442A"/>
    <w:rsid w:val="00576F2C"/>
    <w:rsid w:val="005815AF"/>
    <w:rsid w:val="00582650"/>
    <w:rsid w:val="00584270"/>
    <w:rsid w:val="005842C7"/>
    <w:rsid w:val="0058437C"/>
    <w:rsid w:val="005846D9"/>
    <w:rsid w:val="00584CF7"/>
    <w:rsid w:val="00587213"/>
    <w:rsid w:val="00590B14"/>
    <w:rsid w:val="005920D1"/>
    <w:rsid w:val="00593C90"/>
    <w:rsid w:val="0059642E"/>
    <w:rsid w:val="00597ED7"/>
    <w:rsid w:val="005A10FF"/>
    <w:rsid w:val="005A1DAE"/>
    <w:rsid w:val="005A2BAE"/>
    <w:rsid w:val="005A2EEE"/>
    <w:rsid w:val="005A3A87"/>
    <w:rsid w:val="005A48A3"/>
    <w:rsid w:val="005A6F2E"/>
    <w:rsid w:val="005B0449"/>
    <w:rsid w:val="005B1AE2"/>
    <w:rsid w:val="005B2272"/>
    <w:rsid w:val="005B3D6C"/>
    <w:rsid w:val="005B48B9"/>
    <w:rsid w:val="005B5435"/>
    <w:rsid w:val="005B58B1"/>
    <w:rsid w:val="005B5CC7"/>
    <w:rsid w:val="005B5D32"/>
    <w:rsid w:val="005B6103"/>
    <w:rsid w:val="005B7FD7"/>
    <w:rsid w:val="005C19AC"/>
    <w:rsid w:val="005C3598"/>
    <w:rsid w:val="005C46C2"/>
    <w:rsid w:val="005C59BF"/>
    <w:rsid w:val="005C5A32"/>
    <w:rsid w:val="005D0528"/>
    <w:rsid w:val="005D1D64"/>
    <w:rsid w:val="005D2C65"/>
    <w:rsid w:val="005D31AD"/>
    <w:rsid w:val="005D5AEB"/>
    <w:rsid w:val="005D6AA0"/>
    <w:rsid w:val="005E2FBF"/>
    <w:rsid w:val="005E3D7E"/>
    <w:rsid w:val="005E4817"/>
    <w:rsid w:val="005E4F8D"/>
    <w:rsid w:val="005E5313"/>
    <w:rsid w:val="005E5FD6"/>
    <w:rsid w:val="005E651A"/>
    <w:rsid w:val="005E6CE6"/>
    <w:rsid w:val="005F05BE"/>
    <w:rsid w:val="005F09B9"/>
    <w:rsid w:val="005F0D6B"/>
    <w:rsid w:val="005F0FEA"/>
    <w:rsid w:val="005F150B"/>
    <w:rsid w:val="005F320E"/>
    <w:rsid w:val="005F343E"/>
    <w:rsid w:val="005F397D"/>
    <w:rsid w:val="005F39C0"/>
    <w:rsid w:val="005F4018"/>
    <w:rsid w:val="005F4EFF"/>
    <w:rsid w:val="005F52F5"/>
    <w:rsid w:val="005F5720"/>
    <w:rsid w:val="005F5AD4"/>
    <w:rsid w:val="005F5C60"/>
    <w:rsid w:val="005F5D6F"/>
    <w:rsid w:val="005F6241"/>
    <w:rsid w:val="005F6680"/>
    <w:rsid w:val="005F7BE6"/>
    <w:rsid w:val="006014EB"/>
    <w:rsid w:val="00602404"/>
    <w:rsid w:val="00604556"/>
    <w:rsid w:val="00606500"/>
    <w:rsid w:val="00607AA9"/>
    <w:rsid w:val="006102CA"/>
    <w:rsid w:val="00612289"/>
    <w:rsid w:val="0061270A"/>
    <w:rsid w:val="00615249"/>
    <w:rsid w:val="00616198"/>
    <w:rsid w:val="00616312"/>
    <w:rsid w:val="00616488"/>
    <w:rsid w:val="00620CAA"/>
    <w:rsid w:val="00620F46"/>
    <w:rsid w:val="00621A02"/>
    <w:rsid w:val="00623403"/>
    <w:rsid w:val="00623C84"/>
    <w:rsid w:val="00625364"/>
    <w:rsid w:val="00625C99"/>
    <w:rsid w:val="00627933"/>
    <w:rsid w:val="00627D71"/>
    <w:rsid w:val="006306EE"/>
    <w:rsid w:val="006313A6"/>
    <w:rsid w:val="00632B79"/>
    <w:rsid w:val="00633924"/>
    <w:rsid w:val="00633B96"/>
    <w:rsid w:val="00635A26"/>
    <w:rsid w:val="0063655E"/>
    <w:rsid w:val="006368A3"/>
    <w:rsid w:val="00636CBE"/>
    <w:rsid w:val="00637329"/>
    <w:rsid w:val="006403C7"/>
    <w:rsid w:val="00640A48"/>
    <w:rsid w:val="00641494"/>
    <w:rsid w:val="0064196A"/>
    <w:rsid w:val="00642BD5"/>
    <w:rsid w:val="0064430B"/>
    <w:rsid w:val="00645E84"/>
    <w:rsid w:val="00646150"/>
    <w:rsid w:val="006470FA"/>
    <w:rsid w:val="00647118"/>
    <w:rsid w:val="00647905"/>
    <w:rsid w:val="0065638B"/>
    <w:rsid w:val="00656A27"/>
    <w:rsid w:val="00656B8B"/>
    <w:rsid w:val="006575C5"/>
    <w:rsid w:val="006604E6"/>
    <w:rsid w:val="0066231A"/>
    <w:rsid w:val="00662FF2"/>
    <w:rsid w:val="006632BC"/>
    <w:rsid w:val="00663760"/>
    <w:rsid w:val="00664085"/>
    <w:rsid w:val="0066760D"/>
    <w:rsid w:val="00667E56"/>
    <w:rsid w:val="006711DB"/>
    <w:rsid w:val="00671CDE"/>
    <w:rsid w:val="00672229"/>
    <w:rsid w:val="00673403"/>
    <w:rsid w:val="00677708"/>
    <w:rsid w:val="00677D00"/>
    <w:rsid w:val="0068153E"/>
    <w:rsid w:val="006815CF"/>
    <w:rsid w:val="0068163C"/>
    <w:rsid w:val="0068274B"/>
    <w:rsid w:val="006834F0"/>
    <w:rsid w:val="006846B2"/>
    <w:rsid w:val="00684D49"/>
    <w:rsid w:val="00686FBD"/>
    <w:rsid w:val="006871C0"/>
    <w:rsid w:val="006871CE"/>
    <w:rsid w:val="00690594"/>
    <w:rsid w:val="00690DA9"/>
    <w:rsid w:val="00692CC8"/>
    <w:rsid w:val="0069310A"/>
    <w:rsid w:val="00693574"/>
    <w:rsid w:val="00694513"/>
    <w:rsid w:val="0069576B"/>
    <w:rsid w:val="0069665A"/>
    <w:rsid w:val="00697087"/>
    <w:rsid w:val="006A03A9"/>
    <w:rsid w:val="006A0724"/>
    <w:rsid w:val="006A13D7"/>
    <w:rsid w:val="006A1709"/>
    <w:rsid w:val="006A1751"/>
    <w:rsid w:val="006A1EFE"/>
    <w:rsid w:val="006A23F6"/>
    <w:rsid w:val="006A27B8"/>
    <w:rsid w:val="006A33EF"/>
    <w:rsid w:val="006A345A"/>
    <w:rsid w:val="006A4CB4"/>
    <w:rsid w:val="006A69AF"/>
    <w:rsid w:val="006A7168"/>
    <w:rsid w:val="006A762D"/>
    <w:rsid w:val="006B026D"/>
    <w:rsid w:val="006B3557"/>
    <w:rsid w:val="006B3D62"/>
    <w:rsid w:val="006B4F13"/>
    <w:rsid w:val="006B7DB8"/>
    <w:rsid w:val="006C1752"/>
    <w:rsid w:val="006C3413"/>
    <w:rsid w:val="006C3AF8"/>
    <w:rsid w:val="006C4BEA"/>
    <w:rsid w:val="006C4D46"/>
    <w:rsid w:val="006C5ED2"/>
    <w:rsid w:val="006C6B88"/>
    <w:rsid w:val="006D0A90"/>
    <w:rsid w:val="006D3A62"/>
    <w:rsid w:val="006D5C5E"/>
    <w:rsid w:val="006D77E2"/>
    <w:rsid w:val="006E1C9C"/>
    <w:rsid w:val="006E306E"/>
    <w:rsid w:val="006E3118"/>
    <w:rsid w:val="006E3D7B"/>
    <w:rsid w:val="006E4FBC"/>
    <w:rsid w:val="006F10B6"/>
    <w:rsid w:val="006F1EBE"/>
    <w:rsid w:val="006F3E81"/>
    <w:rsid w:val="006F53D6"/>
    <w:rsid w:val="00700532"/>
    <w:rsid w:val="0070061F"/>
    <w:rsid w:val="007008A0"/>
    <w:rsid w:val="00701509"/>
    <w:rsid w:val="00703F9C"/>
    <w:rsid w:val="00704CBB"/>
    <w:rsid w:val="007053BA"/>
    <w:rsid w:val="00707657"/>
    <w:rsid w:val="007115F2"/>
    <w:rsid w:val="00714EF8"/>
    <w:rsid w:val="00717B36"/>
    <w:rsid w:val="007213FD"/>
    <w:rsid w:val="00722C9C"/>
    <w:rsid w:val="00723498"/>
    <w:rsid w:val="00723575"/>
    <w:rsid w:val="00724B54"/>
    <w:rsid w:val="007254FF"/>
    <w:rsid w:val="00726FB6"/>
    <w:rsid w:val="00727B25"/>
    <w:rsid w:val="007306E0"/>
    <w:rsid w:val="007323A6"/>
    <w:rsid w:val="00733DFC"/>
    <w:rsid w:val="0073489A"/>
    <w:rsid w:val="00736962"/>
    <w:rsid w:val="0073745E"/>
    <w:rsid w:val="007374A1"/>
    <w:rsid w:val="00737AE9"/>
    <w:rsid w:val="007405FE"/>
    <w:rsid w:val="0074149E"/>
    <w:rsid w:val="00741F50"/>
    <w:rsid w:val="0074240F"/>
    <w:rsid w:val="007448F5"/>
    <w:rsid w:val="00744EE1"/>
    <w:rsid w:val="00746243"/>
    <w:rsid w:val="00747855"/>
    <w:rsid w:val="00750677"/>
    <w:rsid w:val="00752188"/>
    <w:rsid w:val="007532C2"/>
    <w:rsid w:val="007539A5"/>
    <w:rsid w:val="007542F9"/>
    <w:rsid w:val="00755106"/>
    <w:rsid w:val="0075536F"/>
    <w:rsid w:val="00757AE6"/>
    <w:rsid w:val="00762BCA"/>
    <w:rsid w:val="00762E49"/>
    <w:rsid w:val="007632D9"/>
    <w:rsid w:val="00763574"/>
    <w:rsid w:val="007642F0"/>
    <w:rsid w:val="00764369"/>
    <w:rsid w:val="00764921"/>
    <w:rsid w:val="007657CC"/>
    <w:rsid w:val="00765F88"/>
    <w:rsid w:val="00766A52"/>
    <w:rsid w:val="00767D3B"/>
    <w:rsid w:val="007705DC"/>
    <w:rsid w:val="00774F3C"/>
    <w:rsid w:val="0078053E"/>
    <w:rsid w:val="00780562"/>
    <w:rsid w:val="00781C9D"/>
    <w:rsid w:val="0078308C"/>
    <w:rsid w:val="007859D0"/>
    <w:rsid w:val="00785A77"/>
    <w:rsid w:val="0078696C"/>
    <w:rsid w:val="00786A6C"/>
    <w:rsid w:val="00786C92"/>
    <w:rsid w:val="007876F3"/>
    <w:rsid w:val="00792FC6"/>
    <w:rsid w:val="00793DEC"/>
    <w:rsid w:val="0079578E"/>
    <w:rsid w:val="007966FA"/>
    <w:rsid w:val="007A0C97"/>
    <w:rsid w:val="007A12E3"/>
    <w:rsid w:val="007A170A"/>
    <w:rsid w:val="007A2CAB"/>
    <w:rsid w:val="007A530A"/>
    <w:rsid w:val="007A55A0"/>
    <w:rsid w:val="007A5A9D"/>
    <w:rsid w:val="007A6BB1"/>
    <w:rsid w:val="007A73AD"/>
    <w:rsid w:val="007A74C5"/>
    <w:rsid w:val="007A77D0"/>
    <w:rsid w:val="007A78BE"/>
    <w:rsid w:val="007A7AF5"/>
    <w:rsid w:val="007B0C22"/>
    <w:rsid w:val="007B1EC2"/>
    <w:rsid w:val="007B4821"/>
    <w:rsid w:val="007B4955"/>
    <w:rsid w:val="007B4E87"/>
    <w:rsid w:val="007B7313"/>
    <w:rsid w:val="007C035B"/>
    <w:rsid w:val="007C3FCC"/>
    <w:rsid w:val="007D06F4"/>
    <w:rsid w:val="007D2CA7"/>
    <w:rsid w:val="007D3B85"/>
    <w:rsid w:val="007D5D15"/>
    <w:rsid w:val="007D7959"/>
    <w:rsid w:val="007E0826"/>
    <w:rsid w:val="007E20F7"/>
    <w:rsid w:val="007E3279"/>
    <w:rsid w:val="007E4B4B"/>
    <w:rsid w:val="007E4DB7"/>
    <w:rsid w:val="007F47B9"/>
    <w:rsid w:val="007F5442"/>
    <w:rsid w:val="007F6209"/>
    <w:rsid w:val="007F6C6F"/>
    <w:rsid w:val="00800104"/>
    <w:rsid w:val="008004CA"/>
    <w:rsid w:val="00800D3E"/>
    <w:rsid w:val="00800F9C"/>
    <w:rsid w:val="0080129A"/>
    <w:rsid w:val="00803120"/>
    <w:rsid w:val="0080337C"/>
    <w:rsid w:val="00803575"/>
    <w:rsid w:val="0080573D"/>
    <w:rsid w:val="00810DBA"/>
    <w:rsid w:val="0081271A"/>
    <w:rsid w:val="0081339A"/>
    <w:rsid w:val="0081362D"/>
    <w:rsid w:val="00813F98"/>
    <w:rsid w:val="008150D4"/>
    <w:rsid w:val="008151E2"/>
    <w:rsid w:val="00815ACC"/>
    <w:rsid w:val="00815B47"/>
    <w:rsid w:val="00816EB5"/>
    <w:rsid w:val="008174A6"/>
    <w:rsid w:val="008174C9"/>
    <w:rsid w:val="00820EAC"/>
    <w:rsid w:val="008226A7"/>
    <w:rsid w:val="008246FA"/>
    <w:rsid w:val="008248A2"/>
    <w:rsid w:val="00824C88"/>
    <w:rsid w:val="00827380"/>
    <w:rsid w:val="00830206"/>
    <w:rsid w:val="0083055A"/>
    <w:rsid w:val="00832C87"/>
    <w:rsid w:val="00833032"/>
    <w:rsid w:val="00833589"/>
    <w:rsid w:val="00833BC7"/>
    <w:rsid w:val="00834E06"/>
    <w:rsid w:val="0083522E"/>
    <w:rsid w:val="00835AA0"/>
    <w:rsid w:val="008368E0"/>
    <w:rsid w:val="00836F85"/>
    <w:rsid w:val="00837F24"/>
    <w:rsid w:val="00840684"/>
    <w:rsid w:val="008411C6"/>
    <w:rsid w:val="0084242A"/>
    <w:rsid w:val="008429BE"/>
    <w:rsid w:val="00846A3A"/>
    <w:rsid w:val="00847EC8"/>
    <w:rsid w:val="00851069"/>
    <w:rsid w:val="008512CC"/>
    <w:rsid w:val="0085201E"/>
    <w:rsid w:val="00853F28"/>
    <w:rsid w:val="00856005"/>
    <w:rsid w:val="008605E6"/>
    <w:rsid w:val="00864383"/>
    <w:rsid w:val="00866874"/>
    <w:rsid w:val="00866A34"/>
    <w:rsid w:val="0087113F"/>
    <w:rsid w:val="00874446"/>
    <w:rsid w:val="00880888"/>
    <w:rsid w:val="00881DA4"/>
    <w:rsid w:val="00882121"/>
    <w:rsid w:val="00882E5F"/>
    <w:rsid w:val="008832BB"/>
    <w:rsid w:val="008833A2"/>
    <w:rsid w:val="008852C0"/>
    <w:rsid w:val="00885B67"/>
    <w:rsid w:val="00886719"/>
    <w:rsid w:val="0088671B"/>
    <w:rsid w:val="0088712A"/>
    <w:rsid w:val="008911E1"/>
    <w:rsid w:val="008928FF"/>
    <w:rsid w:val="0089381E"/>
    <w:rsid w:val="00893E76"/>
    <w:rsid w:val="00893F6A"/>
    <w:rsid w:val="00894686"/>
    <w:rsid w:val="008A15C1"/>
    <w:rsid w:val="008A3A54"/>
    <w:rsid w:val="008A5EF8"/>
    <w:rsid w:val="008B0441"/>
    <w:rsid w:val="008B1AD0"/>
    <w:rsid w:val="008B255D"/>
    <w:rsid w:val="008B27E5"/>
    <w:rsid w:val="008B2F27"/>
    <w:rsid w:val="008B3C52"/>
    <w:rsid w:val="008B6ED5"/>
    <w:rsid w:val="008B76CB"/>
    <w:rsid w:val="008B79D8"/>
    <w:rsid w:val="008B7B1B"/>
    <w:rsid w:val="008C001C"/>
    <w:rsid w:val="008C045C"/>
    <w:rsid w:val="008C0886"/>
    <w:rsid w:val="008C1B3E"/>
    <w:rsid w:val="008C3C3E"/>
    <w:rsid w:val="008C43DF"/>
    <w:rsid w:val="008C5045"/>
    <w:rsid w:val="008C53F5"/>
    <w:rsid w:val="008C5C5B"/>
    <w:rsid w:val="008C7B58"/>
    <w:rsid w:val="008D13C1"/>
    <w:rsid w:val="008D19A9"/>
    <w:rsid w:val="008D2A20"/>
    <w:rsid w:val="008D2EA9"/>
    <w:rsid w:val="008D3690"/>
    <w:rsid w:val="008D41B1"/>
    <w:rsid w:val="008D45D1"/>
    <w:rsid w:val="008D657D"/>
    <w:rsid w:val="008D784B"/>
    <w:rsid w:val="008E04E7"/>
    <w:rsid w:val="008E1C60"/>
    <w:rsid w:val="008E1F3E"/>
    <w:rsid w:val="008E29AC"/>
    <w:rsid w:val="008E37DC"/>
    <w:rsid w:val="008E43CB"/>
    <w:rsid w:val="008E4E53"/>
    <w:rsid w:val="008E66E6"/>
    <w:rsid w:val="008F1B3B"/>
    <w:rsid w:val="008F2422"/>
    <w:rsid w:val="008F2554"/>
    <w:rsid w:val="008F73C1"/>
    <w:rsid w:val="008F78EC"/>
    <w:rsid w:val="008F790D"/>
    <w:rsid w:val="00900533"/>
    <w:rsid w:val="0090104F"/>
    <w:rsid w:val="00901F45"/>
    <w:rsid w:val="00903A5B"/>
    <w:rsid w:val="009040FA"/>
    <w:rsid w:val="00904437"/>
    <w:rsid w:val="0090496A"/>
    <w:rsid w:val="009053B0"/>
    <w:rsid w:val="00907D45"/>
    <w:rsid w:val="00910F45"/>
    <w:rsid w:val="00913081"/>
    <w:rsid w:val="009151D7"/>
    <w:rsid w:val="00915A6D"/>
    <w:rsid w:val="00915B88"/>
    <w:rsid w:val="00916AF6"/>
    <w:rsid w:val="00917274"/>
    <w:rsid w:val="009209DD"/>
    <w:rsid w:val="0092102F"/>
    <w:rsid w:val="009211D6"/>
    <w:rsid w:val="00921C83"/>
    <w:rsid w:val="00922C66"/>
    <w:rsid w:val="00925E99"/>
    <w:rsid w:val="00926B6B"/>
    <w:rsid w:val="009270E9"/>
    <w:rsid w:val="00927448"/>
    <w:rsid w:val="009306C6"/>
    <w:rsid w:val="00931AA5"/>
    <w:rsid w:val="009323FB"/>
    <w:rsid w:val="009339D6"/>
    <w:rsid w:val="00933C4F"/>
    <w:rsid w:val="00934765"/>
    <w:rsid w:val="00934AA7"/>
    <w:rsid w:val="00935EFA"/>
    <w:rsid w:val="00937829"/>
    <w:rsid w:val="00937FE2"/>
    <w:rsid w:val="00940473"/>
    <w:rsid w:val="0094240C"/>
    <w:rsid w:val="0094376E"/>
    <w:rsid w:val="00944BA9"/>
    <w:rsid w:val="009465B4"/>
    <w:rsid w:val="00947D45"/>
    <w:rsid w:val="00950545"/>
    <w:rsid w:val="00950934"/>
    <w:rsid w:val="00954CFB"/>
    <w:rsid w:val="00956809"/>
    <w:rsid w:val="00957091"/>
    <w:rsid w:val="009574A1"/>
    <w:rsid w:val="00957F8D"/>
    <w:rsid w:val="00960A82"/>
    <w:rsid w:val="00961852"/>
    <w:rsid w:val="00961DB1"/>
    <w:rsid w:val="00962026"/>
    <w:rsid w:val="009626EA"/>
    <w:rsid w:val="0096273D"/>
    <w:rsid w:val="00962AA3"/>
    <w:rsid w:val="009644BD"/>
    <w:rsid w:val="00964516"/>
    <w:rsid w:val="009656BD"/>
    <w:rsid w:val="00966792"/>
    <w:rsid w:val="00967783"/>
    <w:rsid w:val="00967C5A"/>
    <w:rsid w:val="00971ABE"/>
    <w:rsid w:val="00972E71"/>
    <w:rsid w:val="009748A1"/>
    <w:rsid w:val="009758C2"/>
    <w:rsid w:val="00977471"/>
    <w:rsid w:val="009807EA"/>
    <w:rsid w:val="0098193B"/>
    <w:rsid w:val="009820C4"/>
    <w:rsid w:val="00982410"/>
    <w:rsid w:val="00983CD4"/>
    <w:rsid w:val="009852C2"/>
    <w:rsid w:val="00985DBF"/>
    <w:rsid w:val="0098688D"/>
    <w:rsid w:val="009869E9"/>
    <w:rsid w:val="00986EB8"/>
    <w:rsid w:val="00990841"/>
    <w:rsid w:val="009915F5"/>
    <w:rsid w:val="00991AB3"/>
    <w:rsid w:val="0099223A"/>
    <w:rsid w:val="00994608"/>
    <w:rsid w:val="00996018"/>
    <w:rsid w:val="009A1324"/>
    <w:rsid w:val="009A1CCA"/>
    <w:rsid w:val="009A2023"/>
    <w:rsid w:val="009A4778"/>
    <w:rsid w:val="009A4965"/>
    <w:rsid w:val="009A4DFE"/>
    <w:rsid w:val="009A5550"/>
    <w:rsid w:val="009A757C"/>
    <w:rsid w:val="009A7584"/>
    <w:rsid w:val="009A7D97"/>
    <w:rsid w:val="009B042F"/>
    <w:rsid w:val="009B0D22"/>
    <w:rsid w:val="009B1254"/>
    <w:rsid w:val="009B15E8"/>
    <w:rsid w:val="009B1CEA"/>
    <w:rsid w:val="009B2301"/>
    <w:rsid w:val="009B298B"/>
    <w:rsid w:val="009B3A29"/>
    <w:rsid w:val="009B4507"/>
    <w:rsid w:val="009B494B"/>
    <w:rsid w:val="009B4A6A"/>
    <w:rsid w:val="009B6738"/>
    <w:rsid w:val="009B694D"/>
    <w:rsid w:val="009B70B6"/>
    <w:rsid w:val="009B76F1"/>
    <w:rsid w:val="009C17EF"/>
    <w:rsid w:val="009C22D6"/>
    <w:rsid w:val="009C3C31"/>
    <w:rsid w:val="009C4AD5"/>
    <w:rsid w:val="009C51DC"/>
    <w:rsid w:val="009C621B"/>
    <w:rsid w:val="009C6D98"/>
    <w:rsid w:val="009C6F28"/>
    <w:rsid w:val="009C7213"/>
    <w:rsid w:val="009C797F"/>
    <w:rsid w:val="009C7E1F"/>
    <w:rsid w:val="009D0E96"/>
    <w:rsid w:val="009D1AC7"/>
    <w:rsid w:val="009D1F89"/>
    <w:rsid w:val="009D7064"/>
    <w:rsid w:val="009D7160"/>
    <w:rsid w:val="009E2F51"/>
    <w:rsid w:val="009E4467"/>
    <w:rsid w:val="009E4F36"/>
    <w:rsid w:val="009E7BBC"/>
    <w:rsid w:val="009F16A2"/>
    <w:rsid w:val="009F1E77"/>
    <w:rsid w:val="009F5137"/>
    <w:rsid w:val="009F5F56"/>
    <w:rsid w:val="00A00518"/>
    <w:rsid w:val="00A00665"/>
    <w:rsid w:val="00A0274B"/>
    <w:rsid w:val="00A02CFD"/>
    <w:rsid w:val="00A03410"/>
    <w:rsid w:val="00A04AE0"/>
    <w:rsid w:val="00A055CE"/>
    <w:rsid w:val="00A06DA6"/>
    <w:rsid w:val="00A0708D"/>
    <w:rsid w:val="00A10393"/>
    <w:rsid w:val="00A10437"/>
    <w:rsid w:val="00A1063C"/>
    <w:rsid w:val="00A13706"/>
    <w:rsid w:val="00A139C6"/>
    <w:rsid w:val="00A156EF"/>
    <w:rsid w:val="00A21246"/>
    <w:rsid w:val="00A23017"/>
    <w:rsid w:val="00A2368A"/>
    <w:rsid w:val="00A26581"/>
    <w:rsid w:val="00A275CA"/>
    <w:rsid w:val="00A31135"/>
    <w:rsid w:val="00A32B19"/>
    <w:rsid w:val="00A33E77"/>
    <w:rsid w:val="00A35B4B"/>
    <w:rsid w:val="00A362E0"/>
    <w:rsid w:val="00A364B5"/>
    <w:rsid w:val="00A3732A"/>
    <w:rsid w:val="00A37692"/>
    <w:rsid w:val="00A37D24"/>
    <w:rsid w:val="00A40470"/>
    <w:rsid w:val="00A42F95"/>
    <w:rsid w:val="00A46FCA"/>
    <w:rsid w:val="00A47270"/>
    <w:rsid w:val="00A50273"/>
    <w:rsid w:val="00A522F9"/>
    <w:rsid w:val="00A528F3"/>
    <w:rsid w:val="00A54271"/>
    <w:rsid w:val="00A57057"/>
    <w:rsid w:val="00A5798D"/>
    <w:rsid w:val="00A600E7"/>
    <w:rsid w:val="00A6104D"/>
    <w:rsid w:val="00A6205C"/>
    <w:rsid w:val="00A6217E"/>
    <w:rsid w:val="00A63525"/>
    <w:rsid w:val="00A63548"/>
    <w:rsid w:val="00A642E0"/>
    <w:rsid w:val="00A65FEC"/>
    <w:rsid w:val="00A67ADA"/>
    <w:rsid w:val="00A71699"/>
    <w:rsid w:val="00A71FA4"/>
    <w:rsid w:val="00A724E4"/>
    <w:rsid w:val="00A753EE"/>
    <w:rsid w:val="00A76928"/>
    <w:rsid w:val="00A76F8E"/>
    <w:rsid w:val="00A77A34"/>
    <w:rsid w:val="00A77BDF"/>
    <w:rsid w:val="00A81B03"/>
    <w:rsid w:val="00A820F5"/>
    <w:rsid w:val="00A8257C"/>
    <w:rsid w:val="00A82E46"/>
    <w:rsid w:val="00A83A8E"/>
    <w:rsid w:val="00A86283"/>
    <w:rsid w:val="00A90B2E"/>
    <w:rsid w:val="00A90C42"/>
    <w:rsid w:val="00A915E9"/>
    <w:rsid w:val="00A93BB4"/>
    <w:rsid w:val="00A9423A"/>
    <w:rsid w:val="00A94944"/>
    <w:rsid w:val="00A95BFD"/>
    <w:rsid w:val="00A95DC7"/>
    <w:rsid w:val="00A9718F"/>
    <w:rsid w:val="00A97451"/>
    <w:rsid w:val="00A97FD3"/>
    <w:rsid w:val="00AA0238"/>
    <w:rsid w:val="00AA1525"/>
    <w:rsid w:val="00AA1BEF"/>
    <w:rsid w:val="00AA1CB5"/>
    <w:rsid w:val="00AA2301"/>
    <w:rsid w:val="00AA3910"/>
    <w:rsid w:val="00AA5A05"/>
    <w:rsid w:val="00AA7780"/>
    <w:rsid w:val="00AB1393"/>
    <w:rsid w:val="00AB15A5"/>
    <w:rsid w:val="00AB4320"/>
    <w:rsid w:val="00AB4A3F"/>
    <w:rsid w:val="00AB4F72"/>
    <w:rsid w:val="00AB4FC0"/>
    <w:rsid w:val="00AB5B28"/>
    <w:rsid w:val="00AC10F0"/>
    <w:rsid w:val="00AC1533"/>
    <w:rsid w:val="00AC19B8"/>
    <w:rsid w:val="00AC3350"/>
    <w:rsid w:val="00AC48ED"/>
    <w:rsid w:val="00AC4C13"/>
    <w:rsid w:val="00AC5026"/>
    <w:rsid w:val="00AC6E27"/>
    <w:rsid w:val="00AC706B"/>
    <w:rsid w:val="00AD0B76"/>
    <w:rsid w:val="00AD33E4"/>
    <w:rsid w:val="00AD4A21"/>
    <w:rsid w:val="00AD52EE"/>
    <w:rsid w:val="00AD6069"/>
    <w:rsid w:val="00AD68E6"/>
    <w:rsid w:val="00AD6D24"/>
    <w:rsid w:val="00AE034C"/>
    <w:rsid w:val="00AE159E"/>
    <w:rsid w:val="00AE1710"/>
    <w:rsid w:val="00AE1BDA"/>
    <w:rsid w:val="00AE2581"/>
    <w:rsid w:val="00AE2E42"/>
    <w:rsid w:val="00AE399B"/>
    <w:rsid w:val="00AE3F13"/>
    <w:rsid w:val="00AE43AB"/>
    <w:rsid w:val="00AE4BE1"/>
    <w:rsid w:val="00AF2ED1"/>
    <w:rsid w:val="00AF306B"/>
    <w:rsid w:val="00AF70D1"/>
    <w:rsid w:val="00B000BC"/>
    <w:rsid w:val="00B001AB"/>
    <w:rsid w:val="00B004A4"/>
    <w:rsid w:val="00B00DE2"/>
    <w:rsid w:val="00B0115B"/>
    <w:rsid w:val="00B0140C"/>
    <w:rsid w:val="00B01D94"/>
    <w:rsid w:val="00B01FF6"/>
    <w:rsid w:val="00B02722"/>
    <w:rsid w:val="00B02BBE"/>
    <w:rsid w:val="00B02C7C"/>
    <w:rsid w:val="00B03F7D"/>
    <w:rsid w:val="00B040B1"/>
    <w:rsid w:val="00B055F4"/>
    <w:rsid w:val="00B062DA"/>
    <w:rsid w:val="00B12CEA"/>
    <w:rsid w:val="00B13895"/>
    <w:rsid w:val="00B14A4E"/>
    <w:rsid w:val="00B160BD"/>
    <w:rsid w:val="00B1627E"/>
    <w:rsid w:val="00B166D2"/>
    <w:rsid w:val="00B1728F"/>
    <w:rsid w:val="00B17476"/>
    <w:rsid w:val="00B178FE"/>
    <w:rsid w:val="00B20BE7"/>
    <w:rsid w:val="00B21BC2"/>
    <w:rsid w:val="00B2247C"/>
    <w:rsid w:val="00B25C3A"/>
    <w:rsid w:val="00B26318"/>
    <w:rsid w:val="00B2751A"/>
    <w:rsid w:val="00B27BE1"/>
    <w:rsid w:val="00B32E12"/>
    <w:rsid w:val="00B34584"/>
    <w:rsid w:val="00B36A9F"/>
    <w:rsid w:val="00B3757F"/>
    <w:rsid w:val="00B4232A"/>
    <w:rsid w:val="00B449D6"/>
    <w:rsid w:val="00B46B17"/>
    <w:rsid w:val="00B4779D"/>
    <w:rsid w:val="00B502AB"/>
    <w:rsid w:val="00B54483"/>
    <w:rsid w:val="00B54732"/>
    <w:rsid w:val="00B54CD1"/>
    <w:rsid w:val="00B5588B"/>
    <w:rsid w:val="00B5599F"/>
    <w:rsid w:val="00B55FC4"/>
    <w:rsid w:val="00B5613A"/>
    <w:rsid w:val="00B644CF"/>
    <w:rsid w:val="00B64E3A"/>
    <w:rsid w:val="00B70198"/>
    <w:rsid w:val="00B71BBD"/>
    <w:rsid w:val="00B724AC"/>
    <w:rsid w:val="00B75B3A"/>
    <w:rsid w:val="00B81A16"/>
    <w:rsid w:val="00B81F26"/>
    <w:rsid w:val="00B83772"/>
    <w:rsid w:val="00B83CF8"/>
    <w:rsid w:val="00B84A50"/>
    <w:rsid w:val="00B84CCA"/>
    <w:rsid w:val="00B84F41"/>
    <w:rsid w:val="00B85757"/>
    <w:rsid w:val="00B85E14"/>
    <w:rsid w:val="00B86B9D"/>
    <w:rsid w:val="00B8705F"/>
    <w:rsid w:val="00B90D2F"/>
    <w:rsid w:val="00B91736"/>
    <w:rsid w:val="00B9228C"/>
    <w:rsid w:val="00B93152"/>
    <w:rsid w:val="00B943B7"/>
    <w:rsid w:val="00B95835"/>
    <w:rsid w:val="00B9683C"/>
    <w:rsid w:val="00B97BDF"/>
    <w:rsid w:val="00BA030A"/>
    <w:rsid w:val="00BA1A39"/>
    <w:rsid w:val="00BA3F54"/>
    <w:rsid w:val="00BA4249"/>
    <w:rsid w:val="00BA47A5"/>
    <w:rsid w:val="00BA5D2D"/>
    <w:rsid w:val="00BA6AC8"/>
    <w:rsid w:val="00BB21C7"/>
    <w:rsid w:val="00BB2990"/>
    <w:rsid w:val="00BB3056"/>
    <w:rsid w:val="00BB3F4A"/>
    <w:rsid w:val="00BB4C86"/>
    <w:rsid w:val="00BB5B17"/>
    <w:rsid w:val="00BB7335"/>
    <w:rsid w:val="00BB7BA5"/>
    <w:rsid w:val="00BC0AD4"/>
    <w:rsid w:val="00BC0D33"/>
    <w:rsid w:val="00BC162A"/>
    <w:rsid w:val="00BC1774"/>
    <w:rsid w:val="00BC1FB7"/>
    <w:rsid w:val="00BC3171"/>
    <w:rsid w:val="00BC3BB2"/>
    <w:rsid w:val="00BC4BBF"/>
    <w:rsid w:val="00BC4F2D"/>
    <w:rsid w:val="00BC5E2B"/>
    <w:rsid w:val="00BC6B0E"/>
    <w:rsid w:val="00BC7535"/>
    <w:rsid w:val="00BC7665"/>
    <w:rsid w:val="00BD2126"/>
    <w:rsid w:val="00BD3031"/>
    <w:rsid w:val="00BD567C"/>
    <w:rsid w:val="00BD6BD4"/>
    <w:rsid w:val="00BD6DA2"/>
    <w:rsid w:val="00BD7958"/>
    <w:rsid w:val="00BE1906"/>
    <w:rsid w:val="00BE1A33"/>
    <w:rsid w:val="00BE4A5C"/>
    <w:rsid w:val="00BE5E7B"/>
    <w:rsid w:val="00BE64F5"/>
    <w:rsid w:val="00BF2540"/>
    <w:rsid w:val="00BF31D7"/>
    <w:rsid w:val="00BF516A"/>
    <w:rsid w:val="00BF5242"/>
    <w:rsid w:val="00BF6C50"/>
    <w:rsid w:val="00BF7A26"/>
    <w:rsid w:val="00C00A35"/>
    <w:rsid w:val="00C020AF"/>
    <w:rsid w:val="00C022FB"/>
    <w:rsid w:val="00C040F3"/>
    <w:rsid w:val="00C10439"/>
    <w:rsid w:val="00C10D8A"/>
    <w:rsid w:val="00C1588C"/>
    <w:rsid w:val="00C16483"/>
    <w:rsid w:val="00C16878"/>
    <w:rsid w:val="00C16F72"/>
    <w:rsid w:val="00C17382"/>
    <w:rsid w:val="00C212F0"/>
    <w:rsid w:val="00C21BB5"/>
    <w:rsid w:val="00C222D7"/>
    <w:rsid w:val="00C22656"/>
    <w:rsid w:val="00C23670"/>
    <w:rsid w:val="00C23C4B"/>
    <w:rsid w:val="00C23DDE"/>
    <w:rsid w:val="00C254CA"/>
    <w:rsid w:val="00C25C29"/>
    <w:rsid w:val="00C2641D"/>
    <w:rsid w:val="00C26E30"/>
    <w:rsid w:val="00C30A29"/>
    <w:rsid w:val="00C32C6C"/>
    <w:rsid w:val="00C340F8"/>
    <w:rsid w:val="00C35205"/>
    <w:rsid w:val="00C4014E"/>
    <w:rsid w:val="00C41FF6"/>
    <w:rsid w:val="00C43572"/>
    <w:rsid w:val="00C444D4"/>
    <w:rsid w:val="00C464B0"/>
    <w:rsid w:val="00C46F85"/>
    <w:rsid w:val="00C470F1"/>
    <w:rsid w:val="00C51AAB"/>
    <w:rsid w:val="00C538DB"/>
    <w:rsid w:val="00C53F84"/>
    <w:rsid w:val="00C56736"/>
    <w:rsid w:val="00C56822"/>
    <w:rsid w:val="00C57847"/>
    <w:rsid w:val="00C57FC7"/>
    <w:rsid w:val="00C62AFD"/>
    <w:rsid w:val="00C64C1E"/>
    <w:rsid w:val="00C65977"/>
    <w:rsid w:val="00C659E4"/>
    <w:rsid w:val="00C665BA"/>
    <w:rsid w:val="00C665EA"/>
    <w:rsid w:val="00C70E55"/>
    <w:rsid w:val="00C729B6"/>
    <w:rsid w:val="00C758A7"/>
    <w:rsid w:val="00C76026"/>
    <w:rsid w:val="00C77048"/>
    <w:rsid w:val="00C804A3"/>
    <w:rsid w:val="00C83825"/>
    <w:rsid w:val="00C843C9"/>
    <w:rsid w:val="00C85A38"/>
    <w:rsid w:val="00C868B6"/>
    <w:rsid w:val="00C876B9"/>
    <w:rsid w:val="00C907CE"/>
    <w:rsid w:val="00C90A8C"/>
    <w:rsid w:val="00C91047"/>
    <w:rsid w:val="00C92082"/>
    <w:rsid w:val="00C9343D"/>
    <w:rsid w:val="00C93665"/>
    <w:rsid w:val="00C939D0"/>
    <w:rsid w:val="00C95F8E"/>
    <w:rsid w:val="00C960EC"/>
    <w:rsid w:val="00C9710E"/>
    <w:rsid w:val="00CA40F1"/>
    <w:rsid w:val="00CA4498"/>
    <w:rsid w:val="00CA68D6"/>
    <w:rsid w:val="00CA7D61"/>
    <w:rsid w:val="00CB05AB"/>
    <w:rsid w:val="00CB0EA2"/>
    <w:rsid w:val="00CB22F7"/>
    <w:rsid w:val="00CB5AB8"/>
    <w:rsid w:val="00CB6F8B"/>
    <w:rsid w:val="00CB7F9A"/>
    <w:rsid w:val="00CC445B"/>
    <w:rsid w:val="00CC63CD"/>
    <w:rsid w:val="00CD4942"/>
    <w:rsid w:val="00CD501E"/>
    <w:rsid w:val="00CD5228"/>
    <w:rsid w:val="00CD5608"/>
    <w:rsid w:val="00CD7203"/>
    <w:rsid w:val="00CD72A7"/>
    <w:rsid w:val="00CD7D9D"/>
    <w:rsid w:val="00CE07DE"/>
    <w:rsid w:val="00CE082E"/>
    <w:rsid w:val="00CE2E28"/>
    <w:rsid w:val="00CE434B"/>
    <w:rsid w:val="00CE4FF6"/>
    <w:rsid w:val="00CE645D"/>
    <w:rsid w:val="00CE6D1C"/>
    <w:rsid w:val="00CE7DF8"/>
    <w:rsid w:val="00CF5BE0"/>
    <w:rsid w:val="00D00869"/>
    <w:rsid w:val="00D00FF8"/>
    <w:rsid w:val="00D013EA"/>
    <w:rsid w:val="00D03439"/>
    <w:rsid w:val="00D036F7"/>
    <w:rsid w:val="00D03EA8"/>
    <w:rsid w:val="00D0560A"/>
    <w:rsid w:val="00D05E98"/>
    <w:rsid w:val="00D07915"/>
    <w:rsid w:val="00D12CB1"/>
    <w:rsid w:val="00D1431B"/>
    <w:rsid w:val="00D14C29"/>
    <w:rsid w:val="00D152FD"/>
    <w:rsid w:val="00D16286"/>
    <w:rsid w:val="00D2019B"/>
    <w:rsid w:val="00D20BB6"/>
    <w:rsid w:val="00D21A70"/>
    <w:rsid w:val="00D22115"/>
    <w:rsid w:val="00D22519"/>
    <w:rsid w:val="00D22AB3"/>
    <w:rsid w:val="00D24342"/>
    <w:rsid w:val="00D24709"/>
    <w:rsid w:val="00D2543B"/>
    <w:rsid w:val="00D30998"/>
    <w:rsid w:val="00D3440E"/>
    <w:rsid w:val="00D36EC7"/>
    <w:rsid w:val="00D4049A"/>
    <w:rsid w:val="00D4064C"/>
    <w:rsid w:val="00D41C5A"/>
    <w:rsid w:val="00D44360"/>
    <w:rsid w:val="00D44424"/>
    <w:rsid w:val="00D45A1E"/>
    <w:rsid w:val="00D45A44"/>
    <w:rsid w:val="00D45D27"/>
    <w:rsid w:val="00D465E4"/>
    <w:rsid w:val="00D4686F"/>
    <w:rsid w:val="00D46BB5"/>
    <w:rsid w:val="00D5219C"/>
    <w:rsid w:val="00D52725"/>
    <w:rsid w:val="00D528D6"/>
    <w:rsid w:val="00D52A89"/>
    <w:rsid w:val="00D52B26"/>
    <w:rsid w:val="00D53616"/>
    <w:rsid w:val="00D539EA"/>
    <w:rsid w:val="00D53CD2"/>
    <w:rsid w:val="00D53FBF"/>
    <w:rsid w:val="00D55515"/>
    <w:rsid w:val="00D55860"/>
    <w:rsid w:val="00D56B3E"/>
    <w:rsid w:val="00D578B8"/>
    <w:rsid w:val="00D60A08"/>
    <w:rsid w:val="00D6137A"/>
    <w:rsid w:val="00D62080"/>
    <w:rsid w:val="00D6302A"/>
    <w:rsid w:val="00D64CD4"/>
    <w:rsid w:val="00D66D68"/>
    <w:rsid w:val="00D674ED"/>
    <w:rsid w:val="00D675BA"/>
    <w:rsid w:val="00D67BD0"/>
    <w:rsid w:val="00D70E2B"/>
    <w:rsid w:val="00D71202"/>
    <w:rsid w:val="00D73A52"/>
    <w:rsid w:val="00D757F6"/>
    <w:rsid w:val="00D77076"/>
    <w:rsid w:val="00D8090D"/>
    <w:rsid w:val="00D81062"/>
    <w:rsid w:val="00D81F32"/>
    <w:rsid w:val="00D824F6"/>
    <w:rsid w:val="00D825FD"/>
    <w:rsid w:val="00D8349B"/>
    <w:rsid w:val="00D837F8"/>
    <w:rsid w:val="00D8435F"/>
    <w:rsid w:val="00D84417"/>
    <w:rsid w:val="00D84452"/>
    <w:rsid w:val="00D85DEF"/>
    <w:rsid w:val="00D85F93"/>
    <w:rsid w:val="00D87570"/>
    <w:rsid w:val="00D932D9"/>
    <w:rsid w:val="00D935A8"/>
    <w:rsid w:val="00D953D5"/>
    <w:rsid w:val="00DA15B6"/>
    <w:rsid w:val="00DA1BFC"/>
    <w:rsid w:val="00DA31D6"/>
    <w:rsid w:val="00DA4059"/>
    <w:rsid w:val="00DA57DE"/>
    <w:rsid w:val="00DA6FDD"/>
    <w:rsid w:val="00DA74D8"/>
    <w:rsid w:val="00DA774C"/>
    <w:rsid w:val="00DB0947"/>
    <w:rsid w:val="00DB1ED1"/>
    <w:rsid w:val="00DB44B4"/>
    <w:rsid w:val="00DB568D"/>
    <w:rsid w:val="00DB68C8"/>
    <w:rsid w:val="00DB7112"/>
    <w:rsid w:val="00DB78D3"/>
    <w:rsid w:val="00DC31AB"/>
    <w:rsid w:val="00DC3955"/>
    <w:rsid w:val="00DC4902"/>
    <w:rsid w:val="00DC644E"/>
    <w:rsid w:val="00DC70FB"/>
    <w:rsid w:val="00DD0936"/>
    <w:rsid w:val="00DD1755"/>
    <w:rsid w:val="00DD348C"/>
    <w:rsid w:val="00DD7953"/>
    <w:rsid w:val="00DD7AEF"/>
    <w:rsid w:val="00DE3E50"/>
    <w:rsid w:val="00DE46AA"/>
    <w:rsid w:val="00DE5242"/>
    <w:rsid w:val="00DE6BE9"/>
    <w:rsid w:val="00DF0C48"/>
    <w:rsid w:val="00DF1AED"/>
    <w:rsid w:val="00DF1C4A"/>
    <w:rsid w:val="00DF231A"/>
    <w:rsid w:val="00DF2E06"/>
    <w:rsid w:val="00DF30D5"/>
    <w:rsid w:val="00DF324A"/>
    <w:rsid w:val="00DF567D"/>
    <w:rsid w:val="00DF6A49"/>
    <w:rsid w:val="00DF6D05"/>
    <w:rsid w:val="00DF79C2"/>
    <w:rsid w:val="00DF7DA5"/>
    <w:rsid w:val="00E0112B"/>
    <w:rsid w:val="00E02675"/>
    <w:rsid w:val="00E029A6"/>
    <w:rsid w:val="00E0423C"/>
    <w:rsid w:val="00E04CAA"/>
    <w:rsid w:val="00E063EB"/>
    <w:rsid w:val="00E07304"/>
    <w:rsid w:val="00E10B9F"/>
    <w:rsid w:val="00E12495"/>
    <w:rsid w:val="00E15237"/>
    <w:rsid w:val="00E16D4B"/>
    <w:rsid w:val="00E175DF"/>
    <w:rsid w:val="00E17623"/>
    <w:rsid w:val="00E17D9A"/>
    <w:rsid w:val="00E20CE8"/>
    <w:rsid w:val="00E213C3"/>
    <w:rsid w:val="00E21B52"/>
    <w:rsid w:val="00E224C4"/>
    <w:rsid w:val="00E22E4F"/>
    <w:rsid w:val="00E24347"/>
    <w:rsid w:val="00E26167"/>
    <w:rsid w:val="00E26B48"/>
    <w:rsid w:val="00E27B6B"/>
    <w:rsid w:val="00E312BF"/>
    <w:rsid w:val="00E3163A"/>
    <w:rsid w:val="00E328F8"/>
    <w:rsid w:val="00E334C5"/>
    <w:rsid w:val="00E3521F"/>
    <w:rsid w:val="00E3772B"/>
    <w:rsid w:val="00E37C25"/>
    <w:rsid w:val="00E417B5"/>
    <w:rsid w:val="00E42484"/>
    <w:rsid w:val="00E4324A"/>
    <w:rsid w:val="00E433A5"/>
    <w:rsid w:val="00E43448"/>
    <w:rsid w:val="00E434FF"/>
    <w:rsid w:val="00E47040"/>
    <w:rsid w:val="00E500CE"/>
    <w:rsid w:val="00E50CE9"/>
    <w:rsid w:val="00E54BDF"/>
    <w:rsid w:val="00E552D8"/>
    <w:rsid w:val="00E56307"/>
    <w:rsid w:val="00E56556"/>
    <w:rsid w:val="00E57782"/>
    <w:rsid w:val="00E6157B"/>
    <w:rsid w:val="00E61FF4"/>
    <w:rsid w:val="00E62212"/>
    <w:rsid w:val="00E631AD"/>
    <w:rsid w:val="00E637CB"/>
    <w:rsid w:val="00E63E98"/>
    <w:rsid w:val="00E64A5A"/>
    <w:rsid w:val="00E64F16"/>
    <w:rsid w:val="00E655F1"/>
    <w:rsid w:val="00E66757"/>
    <w:rsid w:val="00E6711F"/>
    <w:rsid w:val="00E6723E"/>
    <w:rsid w:val="00E71E02"/>
    <w:rsid w:val="00E72626"/>
    <w:rsid w:val="00E730C3"/>
    <w:rsid w:val="00E73D22"/>
    <w:rsid w:val="00E73EB2"/>
    <w:rsid w:val="00E74B4A"/>
    <w:rsid w:val="00E75D6D"/>
    <w:rsid w:val="00E77F3B"/>
    <w:rsid w:val="00E80C01"/>
    <w:rsid w:val="00E81423"/>
    <w:rsid w:val="00E82696"/>
    <w:rsid w:val="00E82CDD"/>
    <w:rsid w:val="00E83528"/>
    <w:rsid w:val="00E8515B"/>
    <w:rsid w:val="00E851AF"/>
    <w:rsid w:val="00E86165"/>
    <w:rsid w:val="00E864CE"/>
    <w:rsid w:val="00E864D6"/>
    <w:rsid w:val="00E87367"/>
    <w:rsid w:val="00E877F5"/>
    <w:rsid w:val="00E87C40"/>
    <w:rsid w:val="00E90DFF"/>
    <w:rsid w:val="00E90ED2"/>
    <w:rsid w:val="00E925C5"/>
    <w:rsid w:val="00E925D5"/>
    <w:rsid w:val="00E940A8"/>
    <w:rsid w:val="00E96622"/>
    <w:rsid w:val="00EA07BF"/>
    <w:rsid w:val="00EA0E9F"/>
    <w:rsid w:val="00EA1526"/>
    <w:rsid w:val="00EA1EFE"/>
    <w:rsid w:val="00EA21D6"/>
    <w:rsid w:val="00EA2C08"/>
    <w:rsid w:val="00EA3337"/>
    <w:rsid w:val="00EA4495"/>
    <w:rsid w:val="00EA4E01"/>
    <w:rsid w:val="00EA60CE"/>
    <w:rsid w:val="00EA636C"/>
    <w:rsid w:val="00EA7BCE"/>
    <w:rsid w:val="00EB0269"/>
    <w:rsid w:val="00EB0F1A"/>
    <w:rsid w:val="00EB1DBE"/>
    <w:rsid w:val="00EB1F50"/>
    <w:rsid w:val="00EB6263"/>
    <w:rsid w:val="00EB627E"/>
    <w:rsid w:val="00EC19E5"/>
    <w:rsid w:val="00EC2B7A"/>
    <w:rsid w:val="00EC517C"/>
    <w:rsid w:val="00EC6D2B"/>
    <w:rsid w:val="00EC7B00"/>
    <w:rsid w:val="00EC7BD6"/>
    <w:rsid w:val="00EC7BD7"/>
    <w:rsid w:val="00EC7FA3"/>
    <w:rsid w:val="00ED1073"/>
    <w:rsid w:val="00ED12A8"/>
    <w:rsid w:val="00ED305C"/>
    <w:rsid w:val="00ED3855"/>
    <w:rsid w:val="00ED4771"/>
    <w:rsid w:val="00ED625F"/>
    <w:rsid w:val="00ED7EB4"/>
    <w:rsid w:val="00EE0279"/>
    <w:rsid w:val="00EE0A91"/>
    <w:rsid w:val="00EE43FE"/>
    <w:rsid w:val="00EE497A"/>
    <w:rsid w:val="00EE5593"/>
    <w:rsid w:val="00EE65BD"/>
    <w:rsid w:val="00EE6CA2"/>
    <w:rsid w:val="00EF0BA5"/>
    <w:rsid w:val="00EF170B"/>
    <w:rsid w:val="00EF4D44"/>
    <w:rsid w:val="00EF4F99"/>
    <w:rsid w:val="00EF607D"/>
    <w:rsid w:val="00F01AB3"/>
    <w:rsid w:val="00F0228B"/>
    <w:rsid w:val="00F0244C"/>
    <w:rsid w:val="00F02B56"/>
    <w:rsid w:val="00F044ED"/>
    <w:rsid w:val="00F04766"/>
    <w:rsid w:val="00F048C0"/>
    <w:rsid w:val="00F04AAB"/>
    <w:rsid w:val="00F05660"/>
    <w:rsid w:val="00F05EA2"/>
    <w:rsid w:val="00F0687D"/>
    <w:rsid w:val="00F07815"/>
    <w:rsid w:val="00F07BA3"/>
    <w:rsid w:val="00F105F4"/>
    <w:rsid w:val="00F11644"/>
    <w:rsid w:val="00F11983"/>
    <w:rsid w:val="00F141DD"/>
    <w:rsid w:val="00F14ABD"/>
    <w:rsid w:val="00F159F6"/>
    <w:rsid w:val="00F1628E"/>
    <w:rsid w:val="00F173D7"/>
    <w:rsid w:val="00F20F88"/>
    <w:rsid w:val="00F2102D"/>
    <w:rsid w:val="00F213B4"/>
    <w:rsid w:val="00F24E9B"/>
    <w:rsid w:val="00F259F2"/>
    <w:rsid w:val="00F274C2"/>
    <w:rsid w:val="00F302B1"/>
    <w:rsid w:val="00F327A2"/>
    <w:rsid w:val="00F3293F"/>
    <w:rsid w:val="00F33998"/>
    <w:rsid w:val="00F37A6B"/>
    <w:rsid w:val="00F37FC5"/>
    <w:rsid w:val="00F40DF6"/>
    <w:rsid w:val="00F42285"/>
    <w:rsid w:val="00F43F70"/>
    <w:rsid w:val="00F474CC"/>
    <w:rsid w:val="00F4794B"/>
    <w:rsid w:val="00F50A7D"/>
    <w:rsid w:val="00F5195C"/>
    <w:rsid w:val="00F549D9"/>
    <w:rsid w:val="00F616C1"/>
    <w:rsid w:val="00F61DD9"/>
    <w:rsid w:val="00F65502"/>
    <w:rsid w:val="00F66EB4"/>
    <w:rsid w:val="00F6752B"/>
    <w:rsid w:val="00F67F30"/>
    <w:rsid w:val="00F712E8"/>
    <w:rsid w:val="00F71EF0"/>
    <w:rsid w:val="00F72756"/>
    <w:rsid w:val="00F740F4"/>
    <w:rsid w:val="00F743B9"/>
    <w:rsid w:val="00F74553"/>
    <w:rsid w:val="00F77F15"/>
    <w:rsid w:val="00F8143E"/>
    <w:rsid w:val="00F82B72"/>
    <w:rsid w:val="00F84C50"/>
    <w:rsid w:val="00F855C9"/>
    <w:rsid w:val="00F86286"/>
    <w:rsid w:val="00F93B31"/>
    <w:rsid w:val="00F93C4B"/>
    <w:rsid w:val="00F94819"/>
    <w:rsid w:val="00F972C9"/>
    <w:rsid w:val="00FA0E82"/>
    <w:rsid w:val="00FA0FE6"/>
    <w:rsid w:val="00FA24ED"/>
    <w:rsid w:val="00FA2DAD"/>
    <w:rsid w:val="00FA31E5"/>
    <w:rsid w:val="00FA39EC"/>
    <w:rsid w:val="00FA722E"/>
    <w:rsid w:val="00FB26C6"/>
    <w:rsid w:val="00FB2972"/>
    <w:rsid w:val="00FB2CAE"/>
    <w:rsid w:val="00FB314E"/>
    <w:rsid w:val="00FB3938"/>
    <w:rsid w:val="00FB4CD7"/>
    <w:rsid w:val="00FB5A90"/>
    <w:rsid w:val="00FB6191"/>
    <w:rsid w:val="00FB674D"/>
    <w:rsid w:val="00FC12E7"/>
    <w:rsid w:val="00FC297A"/>
    <w:rsid w:val="00FC3276"/>
    <w:rsid w:val="00FC6253"/>
    <w:rsid w:val="00FC64DC"/>
    <w:rsid w:val="00FC691F"/>
    <w:rsid w:val="00FC7002"/>
    <w:rsid w:val="00FC7E66"/>
    <w:rsid w:val="00FD00DD"/>
    <w:rsid w:val="00FD1C6A"/>
    <w:rsid w:val="00FD1EEC"/>
    <w:rsid w:val="00FD2593"/>
    <w:rsid w:val="00FD2A56"/>
    <w:rsid w:val="00FD2FC0"/>
    <w:rsid w:val="00FD57FE"/>
    <w:rsid w:val="00FD5DBF"/>
    <w:rsid w:val="00FD74B7"/>
    <w:rsid w:val="00FE14D3"/>
    <w:rsid w:val="00FE19F7"/>
    <w:rsid w:val="00FE2108"/>
    <w:rsid w:val="00FE6A83"/>
    <w:rsid w:val="00FF07DE"/>
    <w:rsid w:val="00FF0B75"/>
    <w:rsid w:val="00FF11E1"/>
    <w:rsid w:val="00FF31C4"/>
    <w:rsid w:val="00FF3763"/>
    <w:rsid w:val="00FF42AB"/>
    <w:rsid w:val="00FF495C"/>
    <w:rsid w:val="00FF52EC"/>
    <w:rsid w:val="00FF5303"/>
    <w:rsid w:val="00FF6D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9"/>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D45A1E"/>
    <w:pPr>
      <w:spacing w:line="264" w:lineRule="auto"/>
      <w:jc w:val="both"/>
    </w:pPr>
    <w:rPr>
      <w:rFonts w:ascii="Verdana" w:hAnsi="Verdana"/>
      <w:sz w:val="21"/>
      <w:szCs w:val="24"/>
      <w:lang w:val="cs-CZ" w:eastAsia="cs-CZ"/>
    </w:rPr>
  </w:style>
  <w:style w:type="paragraph" w:styleId="Nadpis1">
    <w:name w:val="heading 1"/>
    <w:basedOn w:val="Normln"/>
    <w:next w:val="Normln"/>
    <w:link w:val="Nadpis1Char"/>
    <w:uiPriority w:val="9"/>
    <w:qFormat/>
    <w:rsid w:val="00D45A1E"/>
    <w:pPr>
      <w:keepNext/>
      <w:pageBreakBefore/>
      <w:suppressAutoHyphens/>
      <w:spacing w:before="240" w:after="60"/>
      <w:jc w:val="left"/>
      <w:outlineLvl w:val="0"/>
    </w:pPr>
    <w:rPr>
      <w:rFonts w:eastAsiaTheme="majorEastAsia" w:cs="Arial"/>
      <w:b/>
      <w:bCs/>
      <w:kern w:val="32"/>
      <w:sz w:val="36"/>
      <w:szCs w:val="32"/>
      <w:lang w:val="en-US"/>
    </w:rPr>
  </w:style>
  <w:style w:type="paragraph" w:styleId="Nadpis2">
    <w:name w:val="heading 2"/>
    <w:basedOn w:val="Normln"/>
    <w:next w:val="Normln"/>
    <w:link w:val="Nadpis2Char"/>
    <w:uiPriority w:val="99"/>
    <w:qFormat/>
    <w:rsid w:val="00D45A1E"/>
    <w:pPr>
      <w:keepNext/>
      <w:pBdr>
        <w:bottom w:val="single" w:sz="4" w:space="1" w:color="auto"/>
      </w:pBdr>
      <w:spacing w:before="240" w:after="120" w:line="240" w:lineRule="auto"/>
      <w:jc w:val="left"/>
      <w:outlineLvl w:val="1"/>
    </w:pPr>
    <w:rPr>
      <w:rFonts w:eastAsiaTheme="majorEastAsia" w:cs="Arial"/>
      <w:bCs/>
      <w:iCs/>
      <w:caps/>
      <w:sz w:val="28"/>
      <w:szCs w:val="28"/>
      <w:lang w:val="en-US"/>
    </w:rPr>
  </w:style>
  <w:style w:type="paragraph" w:styleId="Nadpis3">
    <w:name w:val="heading 3"/>
    <w:basedOn w:val="Normln"/>
    <w:next w:val="Normln"/>
    <w:link w:val="Nadpis3Char"/>
    <w:uiPriority w:val="99"/>
    <w:qFormat/>
    <w:rsid w:val="00D45A1E"/>
    <w:pPr>
      <w:keepNext/>
      <w:suppressAutoHyphens/>
      <w:spacing w:before="240" w:after="120" w:line="240" w:lineRule="auto"/>
      <w:jc w:val="left"/>
      <w:outlineLvl w:val="2"/>
    </w:pPr>
    <w:rPr>
      <w:rFonts w:eastAsiaTheme="majorEastAsia" w:cs="Arial"/>
      <w:b/>
      <w:bCs/>
      <w:sz w:val="24"/>
      <w:szCs w:val="26"/>
    </w:rPr>
  </w:style>
  <w:style w:type="paragraph" w:styleId="Nadpis4">
    <w:name w:val="heading 4"/>
    <w:basedOn w:val="Nadpis3"/>
    <w:next w:val="Normln"/>
    <w:link w:val="Nadpis4Char"/>
    <w:uiPriority w:val="99"/>
    <w:qFormat/>
    <w:rsid w:val="008E29AC"/>
    <w:pPr>
      <w:outlineLvl w:val="3"/>
    </w:pPr>
    <w:rPr>
      <w:bCs w:val="0"/>
      <w:sz w:val="21"/>
      <w:szCs w:val="28"/>
    </w:rPr>
  </w:style>
  <w:style w:type="paragraph" w:styleId="Nadpis5">
    <w:name w:val="heading 5"/>
    <w:basedOn w:val="Normln"/>
    <w:next w:val="Normln"/>
    <w:link w:val="Nadpis5Char"/>
    <w:qFormat/>
    <w:rsid w:val="00D45A1E"/>
    <w:pPr>
      <w:keepNext/>
      <w:keepLines/>
      <w:numPr>
        <w:numId w:val="2"/>
      </w:numPr>
      <w:spacing w:before="200"/>
      <w:outlineLvl w:val="4"/>
    </w:pPr>
    <w:rPr>
      <w:rFonts w:eastAsiaTheme="majorEastAsia" w:cs="Arial"/>
      <w:lang w:val="en-US"/>
    </w:rPr>
  </w:style>
  <w:style w:type="paragraph" w:styleId="Nadpis7">
    <w:name w:val="heading 7"/>
    <w:basedOn w:val="Normln"/>
    <w:next w:val="Normln"/>
    <w:link w:val="Nadpis7Char"/>
    <w:uiPriority w:val="99"/>
    <w:qFormat/>
    <w:rsid w:val="00D45A1E"/>
    <w:pPr>
      <w:keepNext/>
      <w:keepLines/>
      <w:spacing w:before="200"/>
      <w:outlineLvl w:val="6"/>
    </w:pPr>
    <w:rPr>
      <w:rFonts w:eastAsia="Times New Roman"/>
      <w:i/>
      <w:iCs/>
      <w:lang w:val="en-US"/>
    </w:rPr>
  </w:style>
  <w:style w:type="paragraph" w:styleId="Nadpis8">
    <w:name w:val="heading 8"/>
    <w:basedOn w:val="Normln"/>
    <w:next w:val="Normln"/>
    <w:link w:val="Nadpis8Char"/>
    <w:uiPriority w:val="99"/>
    <w:qFormat/>
    <w:rsid w:val="00D45A1E"/>
    <w:pPr>
      <w:keepNext/>
      <w:keepLines/>
      <w:spacing w:before="200"/>
      <w:outlineLvl w:val="7"/>
    </w:pPr>
    <w:rPr>
      <w:rFonts w:eastAsia="Times New Roman"/>
      <w:sz w:val="20"/>
      <w:szCs w:val="20"/>
      <w:lang w:val="en-US"/>
    </w:rPr>
  </w:style>
  <w:style w:type="paragraph" w:styleId="Nadpis9">
    <w:name w:val="heading 9"/>
    <w:basedOn w:val="Normln"/>
    <w:next w:val="Normln"/>
    <w:link w:val="Nadpis9Char"/>
    <w:uiPriority w:val="99"/>
    <w:qFormat/>
    <w:rsid w:val="00D45A1E"/>
    <w:pPr>
      <w:keepNext/>
      <w:keepLines/>
      <w:spacing w:before="200"/>
      <w:outlineLvl w:val="8"/>
    </w:pPr>
    <w:rPr>
      <w:rFonts w:eastAsia="Times New Roman"/>
      <w:i/>
      <w:iCs/>
      <w:sz w:val="20"/>
      <w:szCs w:val="20"/>
      <w:lang w:val="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link w:val="Nadpis1"/>
    <w:uiPriority w:val="9"/>
    <w:rsid w:val="00D45A1E"/>
    <w:rPr>
      <w:rFonts w:ascii="Verdana" w:eastAsiaTheme="majorEastAsia" w:hAnsi="Verdana" w:cs="Arial"/>
      <w:b/>
      <w:bCs/>
      <w:kern w:val="32"/>
      <w:sz w:val="36"/>
      <w:szCs w:val="32"/>
      <w:lang w:eastAsia="cs-CZ"/>
    </w:rPr>
  </w:style>
  <w:style w:type="character" w:customStyle="1" w:styleId="Nadpis2Char">
    <w:name w:val="Nadpis 2 Char"/>
    <w:link w:val="Nadpis2"/>
    <w:uiPriority w:val="99"/>
    <w:rsid w:val="00D45A1E"/>
    <w:rPr>
      <w:rFonts w:ascii="Verdana" w:eastAsiaTheme="majorEastAsia" w:hAnsi="Verdana" w:cs="Arial"/>
      <w:bCs/>
      <w:iCs/>
      <w:caps/>
      <w:sz w:val="28"/>
      <w:szCs w:val="28"/>
      <w:lang w:eastAsia="cs-CZ"/>
    </w:rPr>
  </w:style>
  <w:style w:type="character" w:customStyle="1" w:styleId="Nadpis3Char">
    <w:name w:val="Nadpis 3 Char"/>
    <w:link w:val="Nadpis3"/>
    <w:uiPriority w:val="99"/>
    <w:rsid w:val="00D45A1E"/>
    <w:rPr>
      <w:rFonts w:ascii="Verdana" w:eastAsiaTheme="majorEastAsia" w:hAnsi="Verdana" w:cs="Arial"/>
      <w:b/>
      <w:bCs/>
      <w:sz w:val="24"/>
      <w:szCs w:val="26"/>
      <w:lang w:val="cs-CZ" w:eastAsia="cs-CZ"/>
    </w:rPr>
  </w:style>
  <w:style w:type="character" w:styleId="Siln">
    <w:name w:val="Strong"/>
    <w:basedOn w:val="Standardnpsmoodstavce"/>
    <w:uiPriority w:val="22"/>
    <w:rsid w:val="00813F98"/>
    <w:rPr>
      <w:b/>
      <w:bCs/>
    </w:rPr>
  </w:style>
  <w:style w:type="paragraph" w:styleId="Odstavecseseznamem">
    <w:name w:val="List Paragraph"/>
    <w:basedOn w:val="Normln"/>
    <w:link w:val="OdstavecseseznamemChar"/>
    <w:uiPriority w:val="34"/>
    <w:qFormat/>
    <w:rsid w:val="00D45A1E"/>
    <w:pPr>
      <w:numPr>
        <w:numId w:val="3"/>
      </w:numPr>
      <w:contextualSpacing/>
    </w:pPr>
  </w:style>
  <w:style w:type="character" w:styleId="Zvraznn">
    <w:name w:val="Emphasis"/>
    <w:basedOn w:val="Standardnpsmoodstavce"/>
    <w:uiPriority w:val="20"/>
    <w:rsid w:val="00813F98"/>
    <w:rPr>
      <w:i/>
      <w:iCs/>
    </w:rPr>
  </w:style>
  <w:style w:type="character" w:styleId="Zdraznnintenzivn">
    <w:name w:val="Intense Emphasis"/>
    <w:basedOn w:val="Standardnpsmoodstavce"/>
    <w:uiPriority w:val="21"/>
    <w:qFormat/>
    <w:rsid w:val="00813F98"/>
    <w:rPr>
      <w:b/>
      <w:bCs/>
      <w:i/>
      <w:iCs/>
      <w:color w:val="4F81BD" w:themeColor="accent1"/>
    </w:rPr>
  </w:style>
  <w:style w:type="character" w:customStyle="1" w:styleId="Nadpis4Char">
    <w:name w:val="Nadpis 4 Char"/>
    <w:link w:val="Nadpis4"/>
    <w:uiPriority w:val="99"/>
    <w:rsid w:val="008E29AC"/>
    <w:rPr>
      <w:rFonts w:ascii="Verdana" w:eastAsiaTheme="majorEastAsia" w:hAnsi="Verdana" w:cs="Arial"/>
      <w:b/>
      <w:sz w:val="21"/>
      <w:szCs w:val="28"/>
      <w:lang w:val="cs-CZ" w:eastAsia="cs-CZ"/>
    </w:rPr>
  </w:style>
  <w:style w:type="paragraph" w:styleId="Textpoznpodarou">
    <w:name w:val="footnote text"/>
    <w:basedOn w:val="Normln"/>
    <w:link w:val="TextpoznpodarouChar"/>
    <w:uiPriority w:val="99"/>
    <w:unhideWhenUsed/>
    <w:rsid w:val="00880888"/>
    <w:pPr>
      <w:spacing w:line="240" w:lineRule="auto"/>
    </w:pPr>
    <w:rPr>
      <w:sz w:val="18"/>
      <w:szCs w:val="20"/>
    </w:rPr>
  </w:style>
  <w:style w:type="character" w:customStyle="1" w:styleId="TextpoznpodarouChar">
    <w:name w:val="Text pozn. pod čarou Char"/>
    <w:basedOn w:val="Standardnpsmoodstavce"/>
    <w:link w:val="Textpoznpodarou"/>
    <w:uiPriority w:val="99"/>
    <w:rsid w:val="00880888"/>
    <w:rPr>
      <w:rFonts w:asciiTheme="majorHAnsi" w:hAnsiTheme="majorHAnsi"/>
      <w:sz w:val="18"/>
      <w:szCs w:val="20"/>
    </w:rPr>
  </w:style>
  <w:style w:type="character" w:styleId="Znakapoznpodarou">
    <w:name w:val="footnote reference"/>
    <w:basedOn w:val="Standardnpsmoodstavce"/>
    <w:uiPriority w:val="99"/>
    <w:semiHidden/>
    <w:unhideWhenUsed/>
    <w:rsid w:val="00880888"/>
    <w:rPr>
      <w:vertAlign w:val="superscript"/>
    </w:rPr>
  </w:style>
  <w:style w:type="paragraph" w:customStyle="1" w:styleId="Tabulkovtext">
    <w:name w:val="Tabulkový text"/>
    <w:basedOn w:val="Normln"/>
    <w:rsid w:val="00491A42"/>
    <w:pPr>
      <w:suppressAutoHyphens/>
      <w:spacing w:line="240" w:lineRule="auto"/>
      <w:jc w:val="left"/>
    </w:pPr>
    <w:rPr>
      <w:rFonts w:asciiTheme="minorHAnsi" w:hAnsiTheme="minorHAnsi"/>
    </w:rPr>
  </w:style>
  <w:style w:type="character" w:customStyle="1" w:styleId="Nadpis5Char">
    <w:name w:val="Nadpis 5 Char"/>
    <w:link w:val="Nadpis5"/>
    <w:rsid w:val="00D45A1E"/>
    <w:rPr>
      <w:rFonts w:ascii="Verdana" w:eastAsiaTheme="majorEastAsia" w:hAnsi="Verdana" w:cs="Arial"/>
      <w:sz w:val="21"/>
      <w:szCs w:val="24"/>
      <w:lang w:eastAsia="cs-CZ"/>
    </w:rPr>
  </w:style>
  <w:style w:type="paragraph" w:styleId="Obsah2">
    <w:name w:val="toc 2"/>
    <w:basedOn w:val="Normln"/>
    <w:next w:val="Normln"/>
    <w:autoRedefine/>
    <w:uiPriority w:val="39"/>
    <w:unhideWhenUsed/>
    <w:rsid w:val="00BF516A"/>
    <w:pPr>
      <w:spacing w:after="100"/>
      <w:ind w:left="200"/>
    </w:pPr>
  </w:style>
  <w:style w:type="paragraph" w:styleId="Obsah1">
    <w:name w:val="toc 1"/>
    <w:basedOn w:val="Normln"/>
    <w:next w:val="Normln"/>
    <w:autoRedefine/>
    <w:uiPriority w:val="39"/>
    <w:unhideWhenUsed/>
    <w:rsid w:val="00BF516A"/>
    <w:pPr>
      <w:spacing w:after="100"/>
    </w:pPr>
  </w:style>
  <w:style w:type="paragraph" w:styleId="Obsah3">
    <w:name w:val="toc 3"/>
    <w:basedOn w:val="Normln"/>
    <w:next w:val="Normln"/>
    <w:autoRedefine/>
    <w:uiPriority w:val="39"/>
    <w:unhideWhenUsed/>
    <w:rsid w:val="00BF516A"/>
    <w:pPr>
      <w:spacing w:after="100"/>
      <w:ind w:left="400"/>
    </w:pPr>
  </w:style>
  <w:style w:type="paragraph" w:customStyle="1" w:styleId="tabulka">
    <w:name w:val="tabulka"/>
    <w:basedOn w:val="Normln"/>
    <w:qFormat/>
    <w:rsid w:val="00D45A1E"/>
    <w:pPr>
      <w:tabs>
        <w:tab w:val="left" w:pos="1418"/>
      </w:tabs>
      <w:spacing w:before="240" w:after="200" w:line="240" w:lineRule="auto"/>
    </w:pPr>
    <w:rPr>
      <w:b/>
    </w:rPr>
  </w:style>
  <w:style w:type="paragraph" w:customStyle="1" w:styleId="graf">
    <w:name w:val="graf"/>
    <w:basedOn w:val="Normln"/>
    <w:qFormat/>
    <w:rsid w:val="00D45A1E"/>
    <w:pPr>
      <w:numPr>
        <w:numId w:val="4"/>
      </w:numPr>
      <w:tabs>
        <w:tab w:val="left" w:pos="1134"/>
      </w:tabs>
      <w:spacing w:before="240" w:after="200" w:line="240" w:lineRule="auto"/>
    </w:pPr>
    <w:rPr>
      <w:rFonts w:eastAsiaTheme="minorHAnsi" w:cstheme="minorBidi"/>
      <w:b/>
      <w:szCs w:val="22"/>
      <w:lang w:eastAsia="en-US"/>
    </w:rPr>
  </w:style>
  <w:style w:type="paragraph" w:styleId="Seznamobrzk">
    <w:name w:val="table of figures"/>
    <w:basedOn w:val="Normln"/>
    <w:next w:val="Normln"/>
    <w:link w:val="SeznamobrzkChar"/>
    <w:uiPriority w:val="99"/>
    <w:unhideWhenUsed/>
    <w:rsid w:val="006A762D"/>
    <w:pPr>
      <w:tabs>
        <w:tab w:val="left" w:pos="1418"/>
        <w:tab w:val="right" w:leader="dot" w:pos="9061"/>
      </w:tabs>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jc w:val="left"/>
    </w:pPr>
    <w:rPr>
      <w:rFonts w:ascii="Arial" w:eastAsia="Arial" w:hAnsi="Arial" w:cs="Arial"/>
      <w:szCs w:val="20"/>
    </w:rPr>
  </w:style>
  <w:style w:type="character" w:customStyle="1" w:styleId="Nadpis7Char">
    <w:name w:val="Nadpis 7 Char"/>
    <w:link w:val="Nadpis7"/>
    <w:uiPriority w:val="99"/>
    <w:rsid w:val="00D45A1E"/>
    <w:rPr>
      <w:rFonts w:ascii="Verdana" w:eastAsia="Times New Roman" w:hAnsi="Verdana"/>
      <w:i/>
      <w:iCs/>
      <w:sz w:val="21"/>
      <w:szCs w:val="24"/>
      <w:lang w:eastAsia="cs-CZ"/>
    </w:rPr>
  </w:style>
  <w:style w:type="character" w:customStyle="1" w:styleId="Nadpis8Char">
    <w:name w:val="Nadpis 8 Char"/>
    <w:link w:val="Nadpis8"/>
    <w:uiPriority w:val="99"/>
    <w:rsid w:val="00D45A1E"/>
    <w:rPr>
      <w:rFonts w:ascii="Verdana" w:eastAsia="Times New Roman" w:hAnsi="Verdana"/>
      <w:lang w:eastAsia="cs-CZ"/>
    </w:rPr>
  </w:style>
  <w:style w:type="character" w:customStyle="1" w:styleId="Nadpis9Char">
    <w:name w:val="Nadpis 9 Char"/>
    <w:link w:val="Nadpis9"/>
    <w:uiPriority w:val="99"/>
    <w:rsid w:val="00D45A1E"/>
    <w:rPr>
      <w:rFonts w:ascii="Verdana" w:eastAsia="Times New Roman" w:hAnsi="Verdana"/>
      <w:i/>
      <w:iCs/>
      <w:lang w:eastAsia="cs-CZ"/>
    </w:rPr>
  </w:style>
  <w:style w:type="paragraph" w:styleId="Nzev">
    <w:name w:val="Title"/>
    <w:basedOn w:val="Normln"/>
    <w:next w:val="Normln"/>
    <w:link w:val="NzevChar"/>
    <w:uiPriority w:val="10"/>
    <w:qFormat/>
    <w:rsid w:val="00D45A1E"/>
    <w:pPr>
      <w:pBdr>
        <w:bottom w:val="single" w:sz="8" w:space="1" w:color="000000"/>
      </w:pBdr>
      <w:spacing w:after="300" w:line="240" w:lineRule="auto"/>
      <w:contextualSpacing/>
    </w:pPr>
    <w:rPr>
      <w:rFonts w:eastAsia="MS Gothic"/>
      <w:spacing w:val="5"/>
      <w:kern w:val="28"/>
      <w:sz w:val="52"/>
      <w:szCs w:val="52"/>
      <w:lang w:val="en-US"/>
    </w:rPr>
  </w:style>
  <w:style w:type="character" w:customStyle="1" w:styleId="NzevChar">
    <w:name w:val="Název Char"/>
    <w:link w:val="Nzev"/>
    <w:uiPriority w:val="10"/>
    <w:rsid w:val="00D45A1E"/>
    <w:rPr>
      <w:rFonts w:ascii="Verdana" w:eastAsia="MS Gothic" w:hAnsi="Verdana"/>
      <w:spacing w:val="5"/>
      <w:kern w:val="28"/>
      <w:sz w:val="52"/>
      <w:szCs w:val="52"/>
      <w:lang w:eastAsia="cs-CZ"/>
    </w:rPr>
  </w:style>
  <w:style w:type="paragraph" w:styleId="Nadpisobsahu">
    <w:name w:val="TOC Heading"/>
    <w:basedOn w:val="Nadpis1"/>
    <w:next w:val="Normln"/>
    <w:uiPriority w:val="39"/>
    <w:semiHidden/>
    <w:unhideWhenUsed/>
    <w:qFormat/>
    <w:rsid w:val="008E29AC"/>
    <w:pPr>
      <w:keepLines/>
      <w:pageBreakBefore w:val="0"/>
      <w:suppressAutoHyphens w:val="0"/>
      <w:spacing w:before="480" w:after="120" w:line="276" w:lineRule="auto"/>
      <w:outlineLvl w:val="9"/>
    </w:pPr>
    <w:rPr>
      <w:rFonts w:eastAsia="MS Gothic" w:cs="Times New Roman"/>
      <w:kern w:val="0"/>
      <w:szCs w:val="28"/>
      <w:lang w:val="cs-CZ"/>
    </w:rPr>
  </w:style>
  <w:style w:type="paragraph" w:customStyle="1" w:styleId="AQE1">
    <w:name w:val="AQE 1"/>
    <w:basedOn w:val="Nadpis1"/>
    <w:link w:val="AQE1Char"/>
    <w:qFormat/>
    <w:rsid w:val="0034044F"/>
    <w:rPr>
      <w:rFonts w:eastAsia="Times New Roman"/>
    </w:rPr>
  </w:style>
  <w:style w:type="character" w:customStyle="1" w:styleId="AQE1Char">
    <w:name w:val="AQE 1 Char"/>
    <w:link w:val="AQE1"/>
    <w:rsid w:val="0034044F"/>
    <w:rPr>
      <w:rFonts w:ascii="Verdana" w:eastAsia="Times New Roman" w:hAnsi="Verdana" w:cs="Arial"/>
      <w:b/>
      <w:bCs/>
      <w:kern w:val="32"/>
      <w:sz w:val="36"/>
      <w:szCs w:val="32"/>
      <w:lang w:eastAsia="cs-CZ"/>
    </w:rPr>
  </w:style>
  <w:style w:type="paragraph" w:customStyle="1" w:styleId="AQE11">
    <w:name w:val="AQE 1.1"/>
    <w:basedOn w:val="Nadpis2"/>
    <w:link w:val="AQE11Char"/>
    <w:qFormat/>
    <w:rsid w:val="00223D8B"/>
    <w:rPr>
      <w:rFonts w:eastAsia="Times New Roman"/>
    </w:rPr>
  </w:style>
  <w:style w:type="character" w:customStyle="1" w:styleId="AQE11Char">
    <w:name w:val="AQE 1.1 Char"/>
    <w:link w:val="AQE11"/>
    <w:rsid w:val="00223D8B"/>
    <w:rPr>
      <w:rFonts w:ascii="Cambria" w:eastAsia="Times New Roman" w:hAnsi="Cambria" w:cs="Arial"/>
      <w:bCs/>
      <w:iCs/>
      <w:caps/>
      <w:sz w:val="28"/>
      <w:szCs w:val="28"/>
      <w:lang w:eastAsia="cs-CZ"/>
    </w:rPr>
  </w:style>
  <w:style w:type="paragraph" w:customStyle="1" w:styleId="AQE111">
    <w:name w:val="AQE 1.1.1"/>
    <w:basedOn w:val="Nadpis3"/>
    <w:link w:val="AQE111Char"/>
    <w:qFormat/>
    <w:rsid w:val="008E29AC"/>
    <w:rPr>
      <w:rFonts w:eastAsia="Times New Roman"/>
    </w:rPr>
  </w:style>
  <w:style w:type="character" w:customStyle="1" w:styleId="AQE111Char">
    <w:name w:val="AQE 1.1.1 Char"/>
    <w:link w:val="AQE111"/>
    <w:rsid w:val="008E29AC"/>
    <w:rPr>
      <w:rFonts w:ascii="Cambria" w:eastAsia="Times New Roman" w:hAnsi="Cambria" w:cs="Arial"/>
      <w:b/>
      <w:bCs/>
      <w:sz w:val="24"/>
      <w:szCs w:val="26"/>
      <w:lang w:eastAsia="cs-CZ"/>
    </w:rPr>
  </w:style>
  <w:style w:type="paragraph" w:customStyle="1" w:styleId="AQE1111">
    <w:name w:val="AQE 1.1.1.1"/>
    <w:basedOn w:val="Nadpis4"/>
    <w:link w:val="AQE1111Char"/>
    <w:qFormat/>
    <w:rsid w:val="008E29AC"/>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qFormat/>
    <w:rsid w:val="00D45A1E"/>
    <w:pPr>
      <w:shd w:val="clear" w:color="auto" w:fill="A43D3A"/>
      <w:spacing w:line="276" w:lineRule="auto"/>
      <w:jc w:val="left"/>
    </w:pPr>
    <w:rPr>
      <w:rFonts w:eastAsia="Times New Roman"/>
      <w:b/>
      <w:color w:val="FFFFFF"/>
      <w:sz w:val="28"/>
      <w:szCs w:val="28"/>
    </w:rPr>
  </w:style>
  <w:style w:type="paragraph" w:customStyle="1" w:styleId="AQE3">
    <w:name w:val="AQE3"/>
    <w:basedOn w:val="Normln"/>
    <w:link w:val="AQE3Char"/>
    <w:qFormat/>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D45A1E"/>
    <w:pPr>
      <w:tabs>
        <w:tab w:val="left" w:pos="1276"/>
      </w:tabs>
      <w:spacing w:before="240" w:after="200" w:line="240" w:lineRule="auto"/>
    </w:pPr>
    <w:rPr>
      <w:b/>
      <w:bCs/>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5"/>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6A762D"/>
    <w:rPr>
      <w:rFonts w:ascii="Cambria" w:hAnsi="Cambria"/>
      <w:sz w:val="21"/>
      <w:szCs w:val="24"/>
      <w:lang w:val="cs-CZ" w:eastAsia="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 w:type="character" w:styleId="Sledovanodkaz">
    <w:name w:val="FollowedHyperlink"/>
    <w:basedOn w:val="Standardnpsmoodstavce"/>
    <w:uiPriority w:val="99"/>
    <w:semiHidden/>
    <w:unhideWhenUsed/>
    <w:rsid w:val="003347DE"/>
    <w:rPr>
      <w:color w:val="800080" w:themeColor="followedHyperlink"/>
      <w:u w:val="single"/>
    </w:rPr>
  </w:style>
  <w:style w:type="table" w:customStyle="1" w:styleId="Mkatabulky1">
    <w:name w:val="Mřížka tabulky1"/>
    <w:basedOn w:val="Normlntabulka"/>
    <w:next w:val="Mkatabulky"/>
    <w:uiPriority w:val="39"/>
    <w:rsid w:val="003347DE"/>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ln"/>
    <w:uiPriority w:val="34"/>
    <w:qFormat/>
    <w:rsid w:val="002934AC"/>
    <w:pPr>
      <w:spacing w:after="200" w:line="276" w:lineRule="auto"/>
      <w:ind w:left="720"/>
      <w:contextualSpacing/>
      <w:jc w:val="left"/>
    </w:pPr>
    <w:rPr>
      <w:rFonts w:ascii="Calibri" w:hAnsi="Calibri"/>
      <w:sz w:val="22"/>
      <w:szCs w:val="22"/>
      <w:lang w:val="en-US" w:eastAsia="en-US"/>
    </w:rPr>
  </w:style>
  <w:style w:type="character" w:styleId="Odkaznakoment">
    <w:name w:val="annotation reference"/>
    <w:basedOn w:val="Standardnpsmoodstavce"/>
    <w:uiPriority w:val="99"/>
    <w:semiHidden/>
    <w:unhideWhenUsed/>
    <w:rsid w:val="002934AC"/>
    <w:rPr>
      <w:sz w:val="16"/>
      <w:szCs w:val="16"/>
    </w:rPr>
  </w:style>
  <w:style w:type="paragraph" w:styleId="Textkomente">
    <w:name w:val="annotation text"/>
    <w:basedOn w:val="Normln"/>
    <w:link w:val="TextkomenteChar"/>
    <w:uiPriority w:val="99"/>
    <w:semiHidden/>
    <w:unhideWhenUsed/>
    <w:rsid w:val="002934AC"/>
    <w:pPr>
      <w:spacing w:line="240" w:lineRule="auto"/>
    </w:pPr>
    <w:rPr>
      <w:sz w:val="20"/>
      <w:szCs w:val="20"/>
    </w:rPr>
  </w:style>
  <w:style w:type="character" w:customStyle="1" w:styleId="TextkomenteChar">
    <w:name w:val="Text komentáře Char"/>
    <w:basedOn w:val="Standardnpsmoodstavce"/>
    <w:link w:val="Textkomente"/>
    <w:uiPriority w:val="99"/>
    <w:semiHidden/>
    <w:rsid w:val="002934AC"/>
    <w:rPr>
      <w:rFonts w:ascii="Verdana" w:hAnsi="Verdana"/>
      <w:lang w:val="cs-CZ" w:eastAsia="cs-CZ"/>
    </w:rPr>
  </w:style>
  <w:style w:type="paragraph" w:styleId="Pedmtkomente">
    <w:name w:val="annotation subject"/>
    <w:basedOn w:val="Textkomente"/>
    <w:next w:val="Textkomente"/>
    <w:link w:val="PedmtkomenteChar"/>
    <w:uiPriority w:val="99"/>
    <w:semiHidden/>
    <w:unhideWhenUsed/>
    <w:rsid w:val="002934AC"/>
    <w:rPr>
      <w:b/>
      <w:bCs/>
    </w:rPr>
  </w:style>
  <w:style w:type="character" w:customStyle="1" w:styleId="PedmtkomenteChar">
    <w:name w:val="Předmět komentáře Char"/>
    <w:basedOn w:val="TextkomenteChar"/>
    <w:link w:val="Pedmtkomente"/>
    <w:uiPriority w:val="99"/>
    <w:semiHidden/>
    <w:rsid w:val="002934AC"/>
    <w:rPr>
      <w:rFonts w:ascii="Verdana" w:hAnsi="Verdana"/>
      <w:b/>
      <w:bCs/>
      <w:lang w:val="cs-CZ" w:eastAsia="cs-CZ"/>
    </w:rPr>
  </w:style>
  <w:style w:type="paragraph" w:styleId="Normlnweb">
    <w:name w:val="Normal (Web)"/>
    <w:basedOn w:val="Normln"/>
    <w:uiPriority w:val="99"/>
    <w:semiHidden/>
    <w:unhideWhenUsed/>
    <w:rsid w:val="00014598"/>
    <w:pPr>
      <w:spacing w:before="100" w:beforeAutospacing="1" w:after="100" w:afterAutospacing="1" w:line="240" w:lineRule="auto"/>
      <w:jc w:val="left"/>
    </w:pPr>
    <w:rPr>
      <w:rFonts w:ascii="Times New Roman" w:eastAsia="Times New Roman" w:hAnsi="Times New Roman"/>
      <w:sz w:val="24"/>
    </w:rPr>
  </w:style>
  <w:style w:type="character" w:customStyle="1" w:styleId="Nevyeenzmnka1">
    <w:name w:val="Nevyřešená zmínka1"/>
    <w:basedOn w:val="Standardnpsmoodstavce"/>
    <w:uiPriority w:val="99"/>
    <w:semiHidden/>
    <w:unhideWhenUsed/>
    <w:rsid w:val="007632D9"/>
    <w:rPr>
      <w:color w:val="605E5C"/>
      <w:shd w:val="clear" w:color="auto" w:fill="E1DFDD"/>
    </w:rPr>
  </w:style>
  <w:style w:type="character" w:customStyle="1" w:styleId="OdstavecseseznamemChar">
    <w:name w:val="Odstavec se seznamem Char"/>
    <w:basedOn w:val="Standardnpsmoodstavce"/>
    <w:link w:val="Odstavecseseznamem"/>
    <w:uiPriority w:val="34"/>
    <w:rsid w:val="008B27E5"/>
    <w:rPr>
      <w:rFonts w:ascii="Verdana" w:hAnsi="Verdana"/>
      <w:sz w:val="21"/>
      <w:szCs w:val="24"/>
      <w:lang w:val="cs-CZ" w:eastAsia="cs-CZ"/>
    </w:rPr>
  </w:style>
  <w:style w:type="paragraph" w:styleId="Zkladntext">
    <w:name w:val="Body Text"/>
    <w:basedOn w:val="Normln"/>
    <w:link w:val="ZkladntextChar"/>
    <w:uiPriority w:val="1"/>
    <w:qFormat/>
    <w:rsid w:val="004E77EF"/>
    <w:pPr>
      <w:spacing w:after="120" w:line="240" w:lineRule="auto"/>
      <w:jc w:val="left"/>
    </w:pPr>
    <w:rPr>
      <w:rFonts w:ascii="Times New Roman" w:eastAsia="Times New Roman" w:hAnsi="Times New Roman"/>
      <w:sz w:val="24"/>
    </w:rPr>
  </w:style>
  <w:style w:type="character" w:customStyle="1" w:styleId="ZkladntextChar">
    <w:name w:val="Základní text Char"/>
    <w:basedOn w:val="Standardnpsmoodstavce"/>
    <w:link w:val="Zkladntext"/>
    <w:uiPriority w:val="1"/>
    <w:rsid w:val="004E77EF"/>
    <w:rPr>
      <w:rFonts w:ascii="Times New Roman" w:eastAsia="Times New Roman" w:hAnsi="Times New Roman"/>
      <w:sz w:val="24"/>
      <w:szCs w:val="24"/>
      <w:lang w:val="cs-CZ" w:eastAsia="cs-CZ"/>
    </w:rPr>
  </w:style>
  <w:style w:type="paragraph" w:customStyle="1" w:styleId="Default">
    <w:name w:val="Default"/>
    <w:rsid w:val="004E77EF"/>
    <w:pPr>
      <w:autoSpaceDE w:val="0"/>
      <w:autoSpaceDN w:val="0"/>
      <w:adjustRightInd w:val="0"/>
    </w:pPr>
    <w:rPr>
      <w:rFonts w:ascii="Arial" w:hAnsi="Arial" w:cs="Arial"/>
      <w:color w:val="000000"/>
      <w:sz w:val="24"/>
      <w:szCs w:val="24"/>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9"/>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D45A1E"/>
    <w:pPr>
      <w:spacing w:line="264" w:lineRule="auto"/>
      <w:jc w:val="both"/>
    </w:pPr>
    <w:rPr>
      <w:rFonts w:ascii="Verdana" w:hAnsi="Verdana"/>
      <w:sz w:val="21"/>
      <w:szCs w:val="24"/>
      <w:lang w:val="cs-CZ" w:eastAsia="cs-CZ"/>
    </w:rPr>
  </w:style>
  <w:style w:type="paragraph" w:styleId="Nadpis1">
    <w:name w:val="heading 1"/>
    <w:basedOn w:val="Normln"/>
    <w:next w:val="Normln"/>
    <w:link w:val="Nadpis1Char"/>
    <w:uiPriority w:val="9"/>
    <w:qFormat/>
    <w:rsid w:val="00D45A1E"/>
    <w:pPr>
      <w:keepNext/>
      <w:pageBreakBefore/>
      <w:suppressAutoHyphens/>
      <w:spacing w:before="240" w:after="60"/>
      <w:jc w:val="left"/>
      <w:outlineLvl w:val="0"/>
    </w:pPr>
    <w:rPr>
      <w:rFonts w:eastAsiaTheme="majorEastAsia" w:cs="Arial"/>
      <w:b/>
      <w:bCs/>
      <w:kern w:val="32"/>
      <w:sz w:val="36"/>
      <w:szCs w:val="32"/>
      <w:lang w:val="en-US"/>
    </w:rPr>
  </w:style>
  <w:style w:type="paragraph" w:styleId="Nadpis2">
    <w:name w:val="heading 2"/>
    <w:basedOn w:val="Normln"/>
    <w:next w:val="Normln"/>
    <w:link w:val="Nadpis2Char"/>
    <w:uiPriority w:val="99"/>
    <w:qFormat/>
    <w:rsid w:val="00D45A1E"/>
    <w:pPr>
      <w:keepNext/>
      <w:pBdr>
        <w:bottom w:val="single" w:sz="4" w:space="1" w:color="auto"/>
      </w:pBdr>
      <w:spacing w:before="240" w:after="120" w:line="240" w:lineRule="auto"/>
      <w:jc w:val="left"/>
      <w:outlineLvl w:val="1"/>
    </w:pPr>
    <w:rPr>
      <w:rFonts w:eastAsiaTheme="majorEastAsia" w:cs="Arial"/>
      <w:bCs/>
      <w:iCs/>
      <w:caps/>
      <w:sz w:val="28"/>
      <w:szCs w:val="28"/>
      <w:lang w:val="en-US"/>
    </w:rPr>
  </w:style>
  <w:style w:type="paragraph" w:styleId="Nadpis3">
    <w:name w:val="heading 3"/>
    <w:basedOn w:val="Normln"/>
    <w:next w:val="Normln"/>
    <w:link w:val="Nadpis3Char"/>
    <w:uiPriority w:val="99"/>
    <w:qFormat/>
    <w:rsid w:val="00D45A1E"/>
    <w:pPr>
      <w:keepNext/>
      <w:suppressAutoHyphens/>
      <w:spacing w:before="240" w:after="120" w:line="240" w:lineRule="auto"/>
      <w:jc w:val="left"/>
      <w:outlineLvl w:val="2"/>
    </w:pPr>
    <w:rPr>
      <w:rFonts w:eastAsiaTheme="majorEastAsia" w:cs="Arial"/>
      <w:b/>
      <w:bCs/>
      <w:sz w:val="24"/>
      <w:szCs w:val="26"/>
    </w:rPr>
  </w:style>
  <w:style w:type="paragraph" w:styleId="Nadpis4">
    <w:name w:val="heading 4"/>
    <w:basedOn w:val="Nadpis3"/>
    <w:next w:val="Normln"/>
    <w:link w:val="Nadpis4Char"/>
    <w:uiPriority w:val="99"/>
    <w:qFormat/>
    <w:rsid w:val="008E29AC"/>
    <w:pPr>
      <w:outlineLvl w:val="3"/>
    </w:pPr>
    <w:rPr>
      <w:bCs w:val="0"/>
      <w:sz w:val="21"/>
      <w:szCs w:val="28"/>
    </w:rPr>
  </w:style>
  <w:style w:type="paragraph" w:styleId="Nadpis5">
    <w:name w:val="heading 5"/>
    <w:basedOn w:val="Normln"/>
    <w:next w:val="Normln"/>
    <w:link w:val="Nadpis5Char"/>
    <w:qFormat/>
    <w:rsid w:val="00D45A1E"/>
    <w:pPr>
      <w:keepNext/>
      <w:keepLines/>
      <w:numPr>
        <w:numId w:val="2"/>
      </w:numPr>
      <w:spacing w:before="200"/>
      <w:outlineLvl w:val="4"/>
    </w:pPr>
    <w:rPr>
      <w:rFonts w:eastAsiaTheme="majorEastAsia" w:cs="Arial"/>
      <w:lang w:val="en-US"/>
    </w:rPr>
  </w:style>
  <w:style w:type="paragraph" w:styleId="Nadpis7">
    <w:name w:val="heading 7"/>
    <w:basedOn w:val="Normln"/>
    <w:next w:val="Normln"/>
    <w:link w:val="Nadpis7Char"/>
    <w:uiPriority w:val="99"/>
    <w:qFormat/>
    <w:rsid w:val="00D45A1E"/>
    <w:pPr>
      <w:keepNext/>
      <w:keepLines/>
      <w:spacing w:before="200"/>
      <w:outlineLvl w:val="6"/>
    </w:pPr>
    <w:rPr>
      <w:rFonts w:eastAsia="Times New Roman"/>
      <w:i/>
      <w:iCs/>
      <w:lang w:val="en-US"/>
    </w:rPr>
  </w:style>
  <w:style w:type="paragraph" w:styleId="Nadpis8">
    <w:name w:val="heading 8"/>
    <w:basedOn w:val="Normln"/>
    <w:next w:val="Normln"/>
    <w:link w:val="Nadpis8Char"/>
    <w:uiPriority w:val="99"/>
    <w:qFormat/>
    <w:rsid w:val="00D45A1E"/>
    <w:pPr>
      <w:keepNext/>
      <w:keepLines/>
      <w:spacing w:before="200"/>
      <w:outlineLvl w:val="7"/>
    </w:pPr>
    <w:rPr>
      <w:rFonts w:eastAsia="Times New Roman"/>
      <w:sz w:val="20"/>
      <w:szCs w:val="20"/>
      <w:lang w:val="en-US"/>
    </w:rPr>
  </w:style>
  <w:style w:type="paragraph" w:styleId="Nadpis9">
    <w:name w:val="heading 9"/>
    <w:basedOn w:val="Normln"/>
    <w:next w:val="Normln"/>
    <w:link w:val="Nadpis9Char"/>
    <w:uiPriority w:val="99"/>
    <w:qFormat/>
    <w:rsid w:val="00D45A1E"/>
    <w:pPr>
      <w:keepNext/>
      <w:keepLines/>
      <w:spacing w:before="200"/>
      <w:outlineLvl w:val="8"/>
    </w:pPr>
    <w:rPr>
      <w:rFonts w:eastAsia="Times New Roman"/>
      <w:i/>
      <w:iCs/>
      <w:sz w:val="20"/>
      <w:szCs w:val="20"/>
      <w:lang w:val="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link w:val="Nadpis1"/>
    <w:uiPriority w:val="9"/>
    <w:rsid w:val="00D45A1E"/>
    <w:rPr>
      <w:rFonts w:ascii="Verdana" w:eastAsiaTheme="majorEastAsia" w:hAnsi="Verdana" w:cs="Arial"/>
      <w:b/>
      <w:bCs/>
      <w:kern w:val="32"/>
      <w:sz w:val="36"/>
      <w:szCs w:val="32"/>
      <w:lang w:eastAsia="cs-CZ"/>
    </w:rPr>
  </w:style>
  <w:style w:type="character" w:customStyle="1" w:styleId="Nadpis2Char">
    <w:name w:val="Nadpis 2 Char"/>
    <w:link w:val="Nadpis2"/>
    <w:uiPriority w:val="99"/>
    <w:rsid w:val="00D45A1E"/>
    <w:rPr>
      <w:rFonts w:ascii="Verdana" w:eastAsiaTheme="majorEastAsia" w:hAnsi="Verdana" w:cs="Arial"/>
      <w:bCs/>
      <w:iCs/>
      <w:caps/>
      <w:sz w:val="28"/>
      <w:szCs w:val="28"/>
      <w:lang w:eastAsia="cs-CZ"/>
    </w:rPr>
  </w:style>
  <w:style w:type="character" w:customStyle="1" w:styleId="Nadpis3Char">
    <w:name w:val="Nadpis 3 Char"/>
    <w:link w:val="Nadpis3"/>
    <w:uiPriority w:val="99"/>
    <w:rsid w:val="00D45A1E"/>
    <w:rPr>
      <w:rFonts w:ascii="Verdana" w:eastAsiaTheme="majorEastAsia" w:hAnsi="Verdana" w:cs="Arial"/>
      <w:b/>
      <w:bCs/>
      <w:sz w:val="24"/>
      <w:szCs w:val="26"/>
      <w:lang w:val="cs-CZ" w:eastAsia="cs-CZ"/>
    </w:rPr>
  </w:style>
  <w:style w:type="character" w:styleId="Siln">
    <w:name w:val="Strong"/>
    <w:basedOn w:val="Standardnpsmoodstavce"/>
    <w:uiPriority w:val="22"/>
    <w:rsid w:val="00813F98"/>
    <w:rPr>
      <w:b/>
      <w:bCs/>
    </w:rPr>
  </w:style>
  <w:style w:type="paragraph" w:styleId="Odstavecseseznamem">
    <w:name w:val="List Paragraph"/>
    <w:basedOn w:val="Normln"/>
    <w:link w:val="OdstavecseseznamemChar"/>
    <w:uiPriority w:val="34"/>
    <w:qFormat/>
    <w:rsid w:val="00D45A1E"/>
    <w:pPr>
      <w:numPr>
        <w:numId w:val="3"/>
      </w:numPr>
      <w:contextualSpacing/>
    </w:pPr>
  </w:style>
  <w:style w:type="character" w:styleId="Zvraznn">
    <w:name w:val="Emphasis"/>
    <w:basedOn w:val="Standardnpsmoodstavce"/>
    <w:uiPriority w:val="20"/>
    <w:rsid w:val="00813F98"/>
    <w:rPr>
      <w:i/>
      <w:iCs/>
    </w:rPr>
  </w:style>
  <w:style w:type="character" w:styleId="Zdraznnintenzivn">
    <w:name w:val="Intense Emphasis"/>
    <w:basedOn w:val="Standardnpsmoodstavce"/>
    <w:uiPriority w:val="21"/>
    <w:qFormat/>
    <w:rsid w:val="00813F98"/>
    <w:rPr>
      <w:b/>
      <w:bCs/>
      <w:i/>
      <w:iCs/>
      <w:color w:val="4F81BD" w:themeColor="accent1"/>
    </w:rPr>
  </w:style>
  <w:style w:type="character" w:customStyle="1" w:styleId="Nadpis4Char">
    <w:name w:val="Nadpis 4 Char"/>
    <w:link w:val="Nadpis4"/>
    <w:uiPriority w:val="99"/>
    <w:rsid w:val="008E29AC"/>
    <w:rPr>
      <w:rFonts w:ascii="Verdana" w:eastAsiaTheme="majorEastAsia" w:hAnsi="Verdana" w:cs="Arial"/>
      <w:b/>
      <w:sz w:val="21"/>
      <w:szCs w:val="28"/>
      <w:lang w:val="cs-CZ" w:eastAsia="cs-CZ"/>
    </w:rPr>
  </w:style>
  <w:style w:type="paragraph" w:styleId="Textpoznpodarou">
    <w:name w:val="footnote text"/>
    <w:basedOn w:val="Normln"/>
    <w:link w:val="TextpoznpodarouChar"/>
    <w:uiPriority w:val="99"/>
    <w:unhideWhenUsed/>
    <w:rsid w:val="00880888"/>
    <w:pPr>
      <w:spacing w:line="240" w:lineRule="auto"/>
    </w:pPr>
    <w:rPr>
      <w:sz w:val="18"/>
      <w:szCs w:val="20"/>
    </w:rPr>
  </w:style>
  <w:style w:type="character" w:customStyle="1" w:styleId="TextpoznpodarouChar">
    <w:name w:val="Text pozn. pod čarou Char"/>
    <w:basedOn w:val="Standardnpsmoodstavce"/>
    <w:link w:val="Textpoznpodarou"/>
    <w:uiPriority w:val="99"/>
    <w:rsid w:val="00880888"/>
    <w:rPr>
      <w:rFonts w:asciiTheme="majorHAnsi" w:hAnsiTheme="majorHAnsi"/>
      <w:sz w:val="18"/>
      <w:szCs w:val="20"/>
    </w:rPr>
  </w:style>
  <w:style w:type="character" w:styleId="Znakapoznpodarou">
    <w:name w:val="footnote reference"/>
    <w:basedOn w:val="Standardnpsmoodstavce"/>
    <w:uiPriority w:val="99"/>
    <w:semiHidden/>
    <w:unhideWhenUsed/>
    <w:rsid w:val="00880888"/>
    <w:rPr>
      <w:vertAlign w:val="superscript"/>
    </w:rPr>
  </w:style>
  <w:style w:type="paragraph" w:customStyle="1" w:styleId="Tabulkovtext">
    <w:name w:val="Tabulkový text"/>
    <w:basedOn w:val="Normln"/>
    <w:rsid w:val="00491A42"/>
    <w:pPr>
      <w:suppressAutoHyphens/>
      <w:spacing w:line="240" w:lineRule="auto"/>
      <w:jc w:val="left"/>
    </w:pPr>
    <w:rPr>
      <w:rFonts w:asciiTheme="minorHAnsi" w:hAnsiTheme="minorHAnsi"/>
    </w:rPr>
  </w:style>
  <w:style w:type="character" w:customStyle="1" w:styleId="Nadpis5Char">
    <w:name w:val="Nadpis 5 Char"/>
    <w:link w:val="Nadpis5"/>
    <w:rsid w:val="00D45A1E"/>
    <w:rPr>
      <w:rFonts w:ascii="Verdana" w:eastAsiaTheme="majorEastAsia" w:hAnsi="Verdana" w:cs="Arial"/>
      <w:sz w:val="21"/>
      <w:szCs w:val="24"/>
      <w:lang w:eastAsia="cs-CZ"/>
    </w:rPr>
  </w:style>
  <w:style w:type="paragraph" w:styleId="Obsah2">
    <w:name w:val="toc 2"/>
    <w:basedOn w:val="Normln"/>
    <w:next w:val="Normln"/>
    <w:autoRedefine/>
    <w:uiPriority w:val="39"/>
    <w:unhideWhenUsed/>
    <w:rsid w:val="00BF516A"/>
    <w:pPr>
      <w:spacing w:after="100"/>
      <w:ind w:left="200"/>
    </w:pPr>
  </w:style>
  <w:style w:type="paragraph" w:styleId="Obsah1">
    <w:name w:val="toc 1"/>
    <w:basedOn w:val="Normln"/>
    <w:next w:val="Normln"/>
    <w:autoRedefine/>
    <w:uiPriority w:val="39"/>
    <w:unhideWhenUsed/>
    <w:rsid w:val="00BF516A"/>
    <w:pPr>
      <w:spacing w:after="100"/>
    </w:pPr>
  </w:style>
  <w:style w:type="paragraph" w:styleId="Obsah3">
    <w:name w:val="toc 3"/>
    <w:basedOn w:val="Normln"/>
    <w:next w:val="Normln"/>
    <w:autoRedefine/>
    <w:uiPriority w:val="39"/>
    <w:unhideWhenUsed/>
    <w:rsid w:val="00BF516A"/>
    <w:pPr>
      <w:spacing w:after="100"/>
      <w:ind w:left="400"/>
    </w:pPr>
  </w:style>
  <w:style w:type="paragraph" w:customStyle="1" w:styleId="tabulka">
    <w:name w:val="tabulka"/>
    <w:basedOn w:val="Normln"/>
    <w:qFormat/>
    <w:rsid w:val="00D45A1E"/>
    <w:pPr>
      <w:tabs>
        <w:tab w:val="left" w:pos="1418"/>
      </w:tabs>
      <w:spacing w:before="240" w:after="200" w:line="240" w:lineRule="auto"/>
    </w:pPr>
    <w:rPr>
      <w:b/>
    </w:rPr>
  </w:style>
  <w:style w:type="paragraph" w:customStyle="1" w:styleId="graf">
    <w:name w:val="graf"/>
    <w:basedOn w:val="Normln"/>
    <w:qFormat/>
    <w:rsid w:val="00D45A1E"/>
    <w:pPr>
      <w:numPr>
        <w:numId w:val="4"/>
      </w:numPr>
      <w:tabs>
        <w:tab w:val="left" w:pos="1134"/>
      </w:tabs>
      <w:spacing w:before="240" w:after="200" w:line="240" w:lineRule="auto"/>
    </w:pPr>
    <w:rPr>
      <w:rFonts w:eastAsiaTheme="minorHAnsi" w:cstheme="minorBidi"/>
      <w:b/>
      <w:szCs w:val="22"/>
      <w:lang w:eastAsia="en-US"/>
    </w:rPr>
  </w:style>
  <w:style w:type="paragraph" w:styleId="Seznamobrzk">
    <w:name w:val="table of figures"/>
    <w:basedOn w:val="Normln"/>
    <w:next w:val="Normln"/>
    <w:link w:val="SeznamobrzkChar"/>
    <w:uiPriority w:val="99"/>
    <w:unhideWhenUsed/>
    <w:rsid w:val="006A762D"/>
    <w:pPr>
      <w:tabs>
        <w:tab w:val="left" w:pos="1418"/>
        <w:tab w:val="right" w:leader="dot" w:pos="9061"/>
      </w:tabs>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jc w:val="left"/>
    </w:pPr>
    <w:rPr>
      <w:rFonts w:ascii="Arial" w:eastAsia="Arial" w:hAnsi="Arial" w:cs="Arial"/>
      <w:szCs w:val="20"/>
    </w:rPr>
  </w:style>
  <w:style w:type="character" w:customStyle="1" w:styleId="Nadpis7Char">
    <w:name w:val="Nadpis 7 Char"/>
    <w:link w:val="Nadpis7"/>
    <w:uiPriority w:val="99"/>
    <w:rsid w:val="00D45A1E"/>
    <w:rPr>
      <w:rFonts w:ascii="Verdana" w:eastAsia="Times New Roman" w:hAnsi="Verdana"/>
      <w:i/>
      <w:iCs/>
      <w:sz w:val="21"/>
      <w:szCs w:val="24"/>
      <w:lang w:eastAsia="cs-CZ"/>
    </w:rPr>
  </w:style>
  <w:style w:type="character" w:customStyle="1" w:styleId="Nadpis8Char">
    <w:name w:val="Nadpis 8 Char"/>
    <w:link w:val="Nadpis8"/>
    <w:uiPriority w:val="99"/>
    <w:rsid w:val="00D45A1E"/>
    <w:rPr>
      <w:rFonts w:ascii="Verdana" w:eastAsia="Times New Roman" w:hAnsi="Verdana"/>
      <w:lang w:eastAsia="cs-CZ"/>
    </w:rPr>
  </w:style>
  <w:style w:type="character" w:customStyle="1" w:styleId="Nadpis9Char">
    <w:name w:val="Nadpis 9 Char"/>
    <w:link w:val="Nadpis9"/>
    <w:uiPriority w:val="99"/>
    <w:rsid w:val="00D45A1E"/>
    <w:rPr>
      <w:rFonts w:ascii="Verdana" w:eastAsia="Times New Roman" w:hAnsi="Verdana"/>
      <w:i/>
      <w:iCs/>
      <w:lang w:eastAsia="cs-CZ"/>
    </w:rPr>
  </w:style>
  <w:style w:type="paragraph" w:styleId="Nzev">
    <w:name w:val="Title"/>
    <w:basedOn w:val="Normln"/>
    <w:next w:val="Normln"/>
    <w:link w:val="NzevChar"/>
    <w:uiPriority w:val="10"/>
    <w:qFormat/>
    <w:rsid w:val="00D45A1E"/>
    <w:pPr>
      <w:pBdr>
        <w:bottom w:val="single" w:sz="8" w:space="1" w:color="000000"/>
      </w:pBdr>
      <w:spacing w:after="300" w:line="240" w:lineRule="auto"/>
      <w:contextualSpacing/>
    </w:pPr>
    <w:rPr>
      <w:rFonts w:eastAsia="MS Gothic"/>
      <w:spacing w:val="5"/>
      <w:kern w:val="28"/>
      <w:sz w:val="52"/>
      <w:szCs w:val="52"/>
      <w:lang w:val="en-US"/>
    </w:rPr>
  </w:style>
  <w:style w:type="character" w:customStyle="1" w:styleId="NzevChar">
    <w:name w:val="Název Char"/>
    <w:link w:val="Nzev"/>
    <w:uiPriority w:val="10"/>
    <w:rsid w:val="00D45A1E"/>
    <w:rPr>
      <w:rFonts w:ascii="Verdana" w:eastAsia="MS Gothic" w:hAnsi="Verdana"/>
      <w:spacing w:val="5"/>
      <w:kern w:val="28"/>
      <w:sz w:val="52"/>
      <w:szCs w:val="52"/>
      <w:lang w:eastAsia="cs-CZ"/>
    </w:rPr>
  </w:style>
  <w:style w:type="paragraph" w:styleId="Nadpisobsahu">
    <w:name w:val="TOC Heading"/>
    <w:basedOn w:val="Nadpis1"/>
    <w:next w:val="Normln"/>
    <w:uiPriority w:val="39"/>
    <w:semiHidden/>
    <w:unhideWhenUsed/>
    <w:qFormat/>
    <w:rsid w:val="008E29AC"/>
    <w:pPr>
      <w:keepLines/>
      <w:pageBreakBefore w:val="0"/>
      <w:suppressAutoHyphens w:val="0"/>
      <w:spacing w:before="480" w:after="120" w:line="276" w:lineRule="auto"/>
      <w:outlineLvl w:val="9"/>
    </w:pPr>
    <w:rPr>
      <w:rFonts w:eastAsia="MS Gothic" w:cs="Times New Roman"/>
      <w:kern w:val="0"/>
      <w:szCs w:val="28"/>
      <w:lang w:val="cs-CZ"/>
    </w:rPr>
  </w:style>
  <w:style w:type="paragraph" w:customStyle="1" w:styleId="AQE1">
    <w:name w:val="AQE 1"/>
    <w:basedOn w:val="Nadpis1"/>
    <w:link w:val="AQE1Char"/>
    <w:qFormat/>
    <w:rsid w:val="0034044F"/>
    <w:rPr>
      <w:rFonts w:eastAsia="Times New Roman"/>
    </w:rPr>
  </w:style>
  <w:style w:type="character" w:customStyle="1" w:styleId="AQE1Char">
    <w:name w:val="AQE 1 Char"/>
    <w:link w:val="AQE1"/>
    <w:rsid w:val="0034044F"/>
    <w:rPr>
      <w:rFonts w:ascii="Verdana" w:eastAsia="Times New Roman" w:hAnsi="Verdana" w:cs="Arial"/>
      <w:b/>
      <w:bCs/>
      <w:kern w:val="32"/>
      <w:sz w:val="36"/>
      <w:szCs w:val="32"/>
      <w:lang w:eastAsia="cs-CZ"/>
    </w:rPr>
  </w:style>
  <w:style w:type="paragraph" w:customStyle="1" w:styleId="AQE11">
    <w:name w:val="AQE 1.1"/>
    <w:basedOn w:val="Nadpis2"/>
    <w:link w:val="AQE11Char"/>
    <w:qFormat/>
    <w:rsid w:val="00223D8B"/>
    <w:rPr>
      <w:rFonts w:eastAsia="Times New Roman"/>
    </w:rPr>
  </w:style>
  <w:style w:type="character" w:customStyle="1" w:styleId="AQE11Char">
    <w:name w:val="AQE 1.1 Char"/>
    <w:link w:val="AQE11"/>
    <w:rsid w:val="00223D8B"/>
    <w:rPr>
      <w:rFonts w:ascii="Cambria" w:eastAsia="Times New Roman" w:hAnsi="Cambria" w:cs="Arial"/>
      <w:bCs/>
      <w:iCs/>
      <w:caps/>
      <w:sz w:val="28"/>
      <w:szCs w:val="28"/>
      <w:lang w:eastAsia="cs-CZ"/>
    </w:rPr>
  </w:style>
  <w:style w:type="paragraph" w:customStyle="1" w:styleId="AQE111">
    <w:name w:val="AQE 1.1.1"/>
    <w:basedOn w:val="Nadpis3"/>
    <w:link w:val="AQE111Char"/>
    <w:qFormat/>
    <w:rsid w:val="008E29AC"/>
    <w:rPr>
      <w:rFonts w:eastAsia="Times New Roman"/>
    </w:rPr>
  </w:style>
  <w:style w:type="character" w:customStyle="1" w:styleId="AQE111Char">
    <w:name w:val="AQE 1.1.1 Char"/>
    <w:link w:val="AQE111"/>
    <w:rsid w:val="008E29AC"/>
    <w:rPr>
      <w:rFonts w:ascii="Cambria" w:eastAsia="Times New Roman" w:hAnsi="Cambria" w:cs="Arial"/>
      <w:b/>
      <w:bCs/>
      <w:sz w:val="24"/>
      <w:szCs w:val="26"/>
      <w:lang w:eastAsia="cs-CZ"/>
    </w:rPr>
  </w:style>
  <w:style w:type="paragraph" w:customStyle="1" w:styleId="AQE1111">
    <w:name w:val="AQE 1.1.1.1"/>
    <w:basedOn w:val="Nadpis4"/>
    <w:link w:val="AQE1111Char"/>
    <w:qFormat/>
    <w:rsid w:val="008E29AC"/>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qFormat/>
    <w:rsid w:val="00D45A1E"/>
    <w:pPr>
      <w:shd w:val="clear" w:color="auto" w:fill="A43D3A"/>
      <w:spacing w:line="276" w:lineRule="auto"/>
      <w:jc w:val="left"/>
    </w:pPr>
    <w:rPr>
      <w:rFonts w:eastAsia="Times New Roman"/>
      <w:b/>
      <w:color w:val="FFFFFF"/>
      <w:sz w:val="28"/>
      <w:szCs w:val="28"/>
    </w:rPr>
  </w:style>
  <w:style w:type="paragraph" w:customStyle="1" w:styleId="AQE3">
    <w:name w:val="AQE3"/>
    <w:basedOn w:val="Normln"/>
    <w:link w:val="AQE3Char"/>
    <w:qFormat/>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D45A1E"/>
    <w:pPr>
      <w:tabs>
        <w:tab w:val="left" w:pos="1276"/>
      </w:tabs>
      <w:spacing w:before="240" w:after="200" w:line="240" w:lineRule="auto"/>
    </w:pPr>
    <w:rPr>
      <w:b/>
      <w:bCs/>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5"/>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6A762D"/>
    <w:rPr>
      <w:rFonts w:ascii="Cambria" w:hAnsi="Cambria"/>
      <w:sz w:val="21"/>
      <w:szCs w:val="24"/>
      <w:lang w:val="cs-CZ" w:eastAsia="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 w:type="character" w:styleId="Sledovanodkaz">
    <w:name w:val="FollowedHyperlink"/>
    <w:basedOn w:val="Standardnpsmoodstavce"/>
    <w:uiPriority w:val="99"/>
    <w:semiHidden/>
    <w:unhideWhenUsed/>
    <w:rsid w:val="003347DE"/>
    <w:rPr>
      <w:color w:val="800080" w:themeColor="followedHyperlink"/>
      <w:u w:val="single"/>
    </w:rPr>
  </w:style>
  <w:style w:type="table" w:customStyle="1" w:styleId="Mkatabulky1">
    <w:name w:val="Mřížka tabulky1"/>
    <w:basedOn w:val="Normlntabulka"/>
    <w:next w:val="Mkatabulky"/>
    <w:uiPriority w:val="39"/>
    <w:rsid w:val="003347DE"/>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ln"/>
    <w:uiPriority w:val="34"/>
    <w:qFormat/>
    <w:rsid w:val="002934AC"/>
    <w:pPr>
      <w:spacing w:after="200" w:line="276" w:lineRule="auto"/>
      <w:ind w:left="720"/>
      <w:contextualSpacing/>
      <w:jc w:val="left"/>
    </w:pPr>
    <w:rPr>
      <w:rFonts w:ascii="Calibri" w:hAnsi="Calibri"/>
      <w:sz w:val="22"/>
      <w:szCs w:val="22"/>
      <w:lang w:val="en-US" w:eastAsia="en-US"/>
    </w:rPr>
  </w:style>
  <w:style w:type="character" w:styleId="Odkaznakoment">
    <w:name w:val="annotation reference"/>
    <w:basedOn w:val="Standardnpsmoodstavce"/>
    <w:uiPriority w:val="99"/>
    <w:semiHidden/>
    <w:unhideWhenUsed/>
    <w:rsid w:val="002934AC"/>
    <w:rPr>
      <w:sz w:val="16"/>
      <w:szCs w:val="16"/>
    </w:rPr>
  </w:style>
  <w:style w:type="paragraph" w:styleId="Textkomente">
    <w:name w:val="annotation text"/>
    <w:basedOn w:val="Normln"/>
    <w:link w:val="TextkomenteChar"/>
    <w:uiPriority w:val="99"/>
    <w:semiHidden/>
    <w:unhideWhenUsed/>
    <w:rsid w:val="002934AC"/>
    <w:pPr>
      <w:spacing w:line="240" w:lineRule="auto"/>
    </w:pPr>
    <w:rPr>
      <w:sz w:val="20"/>
      <w:szCs w:val="20"/>
    </w:rPr>
  </w:style>
  <w:style w:type="character" w:customStyle="1" w:styleId="TextkomenteChar">
    <w:name w:val="Text komentáře Char"/>
    <w:basedOn w:val="Standardnpsmoodstavce"/>
    <w:link w:val="Textkomente"/>
    <w:uiPriority w:val="99"/>
    <w:semiHidden/>
    <w:rsid w:val="002934AC"/>
    <w:rPr>
      <w:rFonts w:ascii="Verdana" w:hAnsi="Verdana"/>
      <w:lang w:val="cs-CZ" w:eastAsia="cs-CZ"/>
    </w:rPr>
  </w:style>
  <w:style w:type="paragraph" w:styleId="Pedmtkomente">
    <w:name w:val="annotation subject"/>
    <w:basedOn w:val="Textkomente"/>
    <w:next w:val="Textkomente"/>
    <w:link w:val="PedmtkomenteChar"/>
    <w:uiPriority w:val="99"/>
    <w:semiHidden/>
    <w:unhideWhenUsed/>
    <w:rsid w:val="002934AC"/>
    <w:rPr>
      <w:b/>
      <w:bCs/>
    </w:rPr>
  </w:style>
  <w:style w:type="character" w:customStyle="1" w:styleId="PedmtkomenteChar">
    <w:name w:val="Předmět komentáře Char"/>
    <w:basedOn w:val="TextkomenteChar"/>
    <w:link w:val="Pedmtkomente"/>
    <w:uiPriority w:val="99"/>
    <w:semiHidden/>
    <w:rsid w:val="002934AC"/>
    <w:rPr>
      <w:rFonts w:ascii="Verdana" w:hAnsi="Verdana"/>
      <w:b/>
      <w:bCs/>
      <w:lang w:val="cs-CZ" w:eastAsia="cs-CZ"/>
    </w:rPr>
  </w:style>
  <w:style w:type="paragraph" w:styleId="Normlnweb">
    <w:name w:val="Normal (Web)"/>
    <w:basedOn w:val="Normln"/>
    <w:uiPriority w:val="99"/>
    <w:semiHidden/>
    <w:unhideWhenUsed/>
    <w:rsid w:val="00014598"/>
    <w:pPr>
      <w:spacing w:before="100" w:beforeAutospacing="1" w:after="100" w:afterAutospacing="1" w:line="240" w:lineRule="auto"/>
      <w:jc w:val="left"/>
    </w:pPr>
    <w:rPr>
      <w:rFonts w:ascii="Times New Roman" w:eastAsia="Times New Roman" w:hAnsi="Times New Roman"/>
      <w:sz w:val="24"/>
    </w:rPr>
  </w:style>
  <w:style w:type="character" w:customStyle="1" w:styleId="Nevyeenzmnka1">
    <w:name w:val="Nevyřešená zmínka1"/>
    <w:basedOn w:val="Standardnpsmoodstavce"/>
    <w:uiPriority w:val="99"/>
    <w:semiHidden/>
    <w:unhideWhenUsed/>
    <w:rsid w:val="007632D9"/>
    <w:rPr>
      <w:color w:val="605E5C"/>
      <w:shd w:val="clear" w:color="auto" w:fill="E1DFDD"/>
    </w:rPr>
  </w:style>
  <w:style w:type="character" w:customStyle="1" w:styleId="OdstavecseseznamemChar">
    <w:name w:val="Odstavec se seznamem Char"/>
    <w:basedOn w:val="Standardnpsmoodstavce"/>
    <w:link w:val="Odstavecseseznamem"/>
    <w:uiPriority w:val="34"/>
    <w:rsid w:val="008B27E5"/>
    <w:rPr>
      <w:rFonts w:ascii="Verdana" w:hAnsi="Verdana"/>
      <w:sz w:val="21"/>
      <w:szCs w:val="24"/>
      <w:lang w:val="cs-CZ" w:eastAsia="cs-CZ"/>
    </w:rPr>
  </w:style>
  <w:style w:type="paragraph" w:styleId="Zkladntext">
    <w:name w:val="Body Text"/>
    <w:basedOn w:val="Normln"/>
    <w:link w:val="ZkladntextChar"/>
    <w:uiPriority w:val="1"/>
    <w:qFormat/>
    <w:rsid w:val="004E77EF"/>
    <w:pPr>
      <w:spacing w:after="120" w:line="240" w:lineRule="auto"/>
      <w:jc w:val="left"/>
    </w:pPr>
    <w:rPr>
      <w:rFonts w:ascii="Times New Roman" w:eastAsia="Times New Roman" w:hAnsi="Times New Roman"/>
      <w:sz w:val="24"/>
    </w:rPr>
  </w:style>
  <w:style w:type="character" w:customStyle="1" w:styleId="ZkladntextChar">
    <w:name w:val="Základní text Char"/>
    <w:basedOn w:val="Standardnpsmoodstavce"/>
    <w:link w:val="Zkladntext"/>
    <w:uiPriority w:val="1"/>
    <w:rsid w:val="004E77EF"/>
    <w:rPr>
      <w:rFonts w:ascii="Times New Roman" w:eastAsia="Times New Roman" w:hAnsi="Times New Roman"/>
      <w:sz w:val="24"/>
      <w:szCs w:val="24"/>
      <w:lang w:val="cs-CZ" w:eastAsia="cs-CZ"/>
    </w:rPr>
  </w:style>
  <w:style w:type="paragraph" w:customStyle="1" w:styleId="Default">
    <w:name w:val="Default"/>
    <w:rsid w:val="004E77EF"/>
    <w:pPr>
      <w:autoSpaceDE w:val="0"/>
      <w:autoSpaceDN w:val="0"/>
      <w:adjustRightInd w:val="0"/>
    </w:pPr>
    <w:rPr>
      <w:rFonts w:ascii="Arial" w:hAnsi="Arial" w:cs="Arial"/>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87">
      <w:bodyDiv w:val="1"/>
      <w:marLeft w:val="0"/>
      <w:marRight w:val="0"/>
      <w:marTop w:val="0"/>
      <w:marBottom w:val="0"/>
      <w:divBdr>
        <w:top w:val="none" w:sz="0" w:space="0" w:color="auto"/>
        <w:left w:val="none" w:sz="0" w:space="0" w:color="auto"/>
        <w:bottom w:val="none" w:sz="0" w:space="0" w:color="auto"/>
        <w:right w:val="none" w:sz="0" w:space="0" w:color="auto"/>
      </w:divBdr>
    </w:div>
    <w:div w:id="29038557">
      <w:bodyDiv w:val="1"/>
      <w:marLeft w:val="0"/>
      <w:marRight w:val="0"/>
      <w:marTop w:val="0"/>
      <w:marBottom w:val="0"/>
      <w:divBdr>
        <w:top w:val="none" w:sz="0" w:space="0" w:color="auto"/>
        <w:left w:val="none" w:sz="0" w:space="0" w:color="auto"/>
        <w:bottom w:val="none" w:sz="0" w:space="0" w:color="auto"/>
        <w:right w:val="none" w:sz="0" w:space="0" w:color="auto"/>
      </w:divBdr>
    </w:div>
    <w:div w:id="53506939">
      <w:bodyDiv w:val="1"/>
      <w:marLeft w:val="0"/>
      <w:marRight w:val="0"/>
      <w:marTop w:val="0"/>
      <w:marBottom w:val="0"/>
      <w:divBdr>
        <w:top w:val="none" w:sz="0" w:space="0" w:color="auto"/>
        <w:left w:val="none" w:sz="0" w:space="0" w:color="auto"/>
        <w:bottom w:val="none" w:sz="0" w:space="0" w:color="auto"/>
        <w:right w:val="none" w:sz="0" w:space="0" w:color="auto"/>
      </w:divBdr>
    </w:div>
    <w:div w:id="58794110">
      <w:bodyDiv w:val="1"/>
      <w:marLeft w:val="0"/>
      <w:marRight w:val="0"/>
      <w:marTop w:val="0"/>
      <w:marBottom w:val="0"/>
      <w:divBdr>
        <w:top w:val="none" w:sz="0" w:space="0" w:color="auto"/>
        <w:left w:val="none" w:sz="0" w:space="0" w:color="auto"/>
        <w:bottom w:val="none" w:sz="0" w:space="0" w:color="auto"/>
        <w:right w:val="none" w:sz="0" w:space="0" w:color="auto"/>
      </w:divBdr>
    </w:div>
    <w:div w:id="76560014">
      <w:bodyDiv w:val="1"/>
      <w:marLeft w:val="0"/>
      <w:marRight w:val="0"/>
      <w:marTop w:val="0"/>
      <w:marBottom w:val="0"/>
      <w:divBdr>
        <w:top w:val="none" w:sz="0" w:space="0" w:color="auto"/>
        <w:left w:val="none" w:sz="0" w:space="0" w:color="auto"/>
        <w:bottom w:val="none" w:sz="0" w:space="0" w:color="auto"/>
        <w:right w:val="none" w:sz="0" w:space="0" w:color="auto"/>
      </w:divBdr>
    </w:div>
    <w:div w:id="81533879">
      <w:bodyDiv w:val="1"/>
      <w:marLeft w:val="0"/>
      <w:marRight w:val="0"/>
      <w:marTop w:val="0"/>
      <w:marBottom w:val="0"/>
      <w:divBdr>
        <w:top w:val="none" w:sz="0" w:space="0" w:color="auto"/>
        <w:left w:val="none" w:sz="0" w:space="0" w:color="auto"/>
        <w:bottom w:val="none" w:sz="0" w:space="0" w:color="auto"/>
        <w:right w:val="none" w:sz="0" w:space="0" w:color="auto"/>
      </w:divBdr>
    </w:div>
    <w:div w:id="138305284">
      <w:bodyDiv w:val="1"/>
      <w:marLeft w:val="0"/>
      <w:marRight w:val="0"/>
      <w:marTop w:val="0"/>
      <w:marBottom w:val="0"/>
      <w:divBdr>
        <w:top w:val="none" w:sz="0" w:space="0" w:color="auto"/>
        <w:left w:val="none" w:sz="0" w:space="0" w:color="auto"/>
        <w:bottom w:val="none" w:sz="0" w:space="0" w:color="auto"/>
        <w:right w:val="none" w:sz="0" w:space="0" w:color="auto"/>
      </w:divBdr>
    </w:div>
    <w:div w:id="167255156">
      <w:bodyDiv w:val="1"/>
      <w:marLeft w:val="0"/>
      <w:marRight w:val="0"/>
      <w:marTop w:val="0"/>
      <w:marBottom w:val="0"/>
      <w:divBdr>
        <w:top w:val="none" w:sz="0" w:space="0" w:color="auto"/>
        <w:left w:val="none" w:sz="0" w:space="0" w:color="auto"/>
        <w:bottom w:val="none" w:sz="0" w:space="0" w:color="auto"/>
        <w:right w:val="none" w:sz="0" w:space="0" w:color="auto"/>
      </w:divBdr>
    </w:div>
    <w:div w:id="167864083">
      <w:bodyDiv w:val="1"/>
      <w:marLeft w:val="0"/>
      <w:marRight w:val="0"/>
      <w:marTop w:val="0"/>
      <w:marBottom w:val="0"/>
      <w:divBdr>
        <w:top w:val="none" w:sz="0" w:space="0" w:color="auto"/>
        <w:left w:val="none" w:sz="0" w:space="0" w:color="auto"/>
        <w:bottom w:val="none" w:sz="0" w:space="0" w:color="auto"/>
        <w:right w:val="none" w:sz="0" w:space="0" w:color="auto"/>
      </w:divBdr>
    </w:div>
    <w:div w:id="168325963">
      <w:bodyDiv w:val="1"/>
      <w:marLeft w:val="0"/>
      <w:marRight w:val="0"/>
      <w:marTop w:val="0"/>
      <w:marBottom w:val="0"/>
      <w:divBdr>
        <w:top w:val="none" w:sz="0" w:space="0" w:color="auto"/>
        <w:left w:val="none" w:sz="0" w:space="0" w:color="auto"/>
        <w:bottom w:val="none" w:sz="0" w:space="0" w:color="auto"/>
        <w:right w:val="none" w:sz="0" w:space="0" w:color="auto"/>
      </w:divBdr>
    </w:div>
    <w:div w:id="177474112">
      <w:bodyDiv w:val="1"/>
      <w:marLeft w:val="0"/>
      <w:marRight w:val="0"/>
      <w:marTop w:val="0"/>
      <w:marBottom w:val="0"/>
      <w:divBdr>
        <w:top w:val="none" w:sz="0" w:space="0" w:color="auto"/>
        <w:left w:val="none" w:sz="0" w:space="0" w:color="auto"/>
        <w:bottom w:val="none" w:sz="0" w:space="0" w:color="auto"/>
        <w:right w:val="none" w:sz="0" w:space="0" w:color="auto"/>
      </w:divBdr>
    </w:div>
    <w:div w:id="178743828">
      <w:bodyDiv w:val="1"/>
      <w:marLeft w:val="0"/>
      <w:marRight w:val="0"/>
      <w:marTop w:val="0"/>
      <w:marBottom w:val="0"/>
      <w:divBdr>
        <w:top w:val="none" w:sz="0" w:space="0" w:color="auto"/>
        <w:left w:val="none" w:sz="0" w:space="0" w:color="auto"/>
        <w:bottom w:val="none" w:sz="0" w:space="0" w:color="auto"/>
        <w:right w:val="none" w:sz="0" w:space="0" w:color="auto"/>
      </w:divBdr>
    </w:div>
    <w:div w:id="196352184">
      <w:bodyDiv w:val="1"/>
      <w:marLeft w:val="0"/>
      <w:marRight w:val="0"/>
      <w:marTop w:val="0"/>
      <w:marBottom w:val="0"/>
      <w:divBdr>
        <w:top w:val="none" w:sz="0" w:space="0" w:color="auto"/>
        <w:left w:val="none" w:sz="0" w:space="0" w:color="auto"/>
        <w:bottom w:val="none" w:sz="0" w:space="0" w:color="auto"/>
        <w:right w:val="none" w:sz="0" w:space="0" w:color="auto"/>
      </w:divBdr>
    </w:div>
    <w:div w:id="242417804">
      <w:bodyDiv w:val="1"/>
      <w:marLeft w:val="0"/>
      <w:marRight w:val="0"/>
      <w:marTop w:val="0"/>
      <w:marBottom w:val="0"/>
      <w:divBdr>
        <w:top w:val="none" w:sz="0" w:space="0" w:color="auto"/>
        <w:left w:val="none" w:sz="0" w:space="0" w:color="auto"/>
        <w:bottom w:val="none" w:sz="0" w:space="0" w:color="auto"/>
        <w:right w:val="none" w:sz="0" w:space="0" w:color="auto"/>
      </w:divBdr>
    </w:div>
    <w:div w:id="255754237">
      <w:bodyDiv w:val="1"/>
      <w:marLeft w:val="0"/>
      <w:marRight w:val="0"/>
      <w:marTop w:val="0"/>
      <w:marBottom w:val="0"/>
      <w:divBdr>
        <w:top w:val="none" w:sz="0" w:space="0" w:color="auto"/>
        <w:left w:val="none" w:sz="0" w:space="0" w:color="auto"/>
        <w:bottom w:val="none" w:sz="0" w:space="0" w:color="auto"/>
        <w:right w:val="none" w:sz="0" w:space="0" w:color="auto"/>
      </w:divBdr>
    </w:div>
    <w:div w:id="257952869">
      <w:bodyDiv w:val="1"/>
      <w:marLeft w:val="0"/>
      <w:marRight w:val="0"/>
      <w:marTop w:val="0"/>
      <w:marBottom w:val="0"/>
      <w:divBdr>
        <w:top w:val="none" w:sz="0" w:space="0" w:color="auto"/>
        <w:left w:val="none" w:sz="0" w:space="0" w:color="auto"/>
        <w:bottom w:val="none" w:sz="0" w:space="0" w:color="auto"/>
        <w:right w:val="none" w:sz="0" w:space="0" w:color="auto"/>
      </w:divBdr>
    </w:div>
    <w:div w:id="282268667">
      <w:bodyDiv w:val="1"/>
      <w:marLeft w:val="0"/>
      <w:marRight w:val="0"/>
      <w:marTop w:val="0"/>
      <w:marBottom w:val="0"/>
      <w:divBdr>
        <w:top w:val="none" w:sz="0" w:space="0" w:color="auto"/>
        <w:left w:val="none" w:sz="0" w:space="0" w:color="auto"/>
        <w:bottom w:val="none" w:sz="0" w:space="0" w:color="auto"/>
        <w:right w:val="none" w:sz="0" w:space="0" w:color="auto"/>
      </w:divBdr>
    </w:div>
    <w:div w:id="282543281">
      <w:bodyDiv w:val="1"/>
      <w:marLeft w:val="0"/>
      <w:marRight w:val="0"/>
      <w:marTop w:val="0"/>
      <w:marBottom w:val="0"/>
      <w:divBdr>
        <w:top w:val="none" w:sz="0" w:space="0" w:color="auto"/>
        <w:left w:val="none" w:sz="0" w:space="0" w:color="auto"/>
        <w:bottom w:val="none" w:sz="0" w:space="0" w:color="auto"/>
        <w:right w:val="none" w:sz="0" w:space="0" w:color="auto"/>
      </w:divBdr>
    </w:div>
    <w:div w:id="286279589">
      <w:bodyDiv w:val="1"/>
      <w:marLeft w:val="0"/>
      <w:marRight w:val="0"/>
      <w:marTop w:val="0"/>
      <w:marBottom w:val="0"/>
      <w:divBdr>
        <w:top w:val="none" w:sz="0" w:space="0" w:color="auto"/>
        <w:left w:val="none" w:sz="0" w:space="0" w:color="auto"/>
        <w:bottom w:val="none" w:sz="0" w:space="0" w:color="auto"/>
        <w:right w:val="none" w:sz="0" w:space="0" w:color="auto"/>
      </w:divBdr>
    </w:div>
    <w:div w:id="330910191">
      <w:bodyDiv w:val="1"/>
      <w:marLeft w:val="0"/>
      <w:marRight w:val="0"/>
      <w:marTop w:val="0"/>
      <w:marBottom w:val="0"/>
      <w:divBdr>
        <w:top w:val="none" w:sz="0" w:space="0" w:color="auto"/>
        <w:left w:val="none" w:sz="0" w:space="0" w:color="auto"/>
        <w:bottom w:val="none" w:sz="0" w:space="0" w:color="auto"/>
        <w:right w:val="none" w:sz="0" w:space="0" w:color="auto"/>
      </w:divBdr>
    </w:div>
    <w:div w:id="342097931">
      <w:bodyDiv w:val="1"/>
      <w:marLeft w:val="0"/>
      <w:marRight w:val="0"/>
      <w:marTop w:val="0"/>
      <w:marBottom w:val="0"/>
      <w:divBdr>
        <w:top w:val="none" w:sz="0" w:space="0" w:color="auto"/>
        <w:left w:val="none" w:sz="0" w:space="0" w:color="auto"/>
        <w:bottom w:val="none" w:sz="0" w:space="0" w:color="auto"/>
        <w:right w:val="none" w:sz="0" w:space="0" w:color="auto"/>
      </w:divBdr>
    </w:div>
    <w:div w:id="384331396">
      <w:bodyDiv w:val="1"/>
      <w:marLeft w:val="0"/>
      <w:marRight w:val="0"/>
      <w:marTop w:val="0"/>
      <w:marBottom w:val="0"/>
      <w:divBdr>
        <w:top w:val="none" w:sz="0" w:space="0" w:color="auto"/>
        <w:left w:val="none" w:sz="0" w:space="0" w:color="auto"/>
        <w:bottom w:val="none" w:sz="0" w:space="0" w:color="auto"/>
        <w:right w:val="none" w:sz="0" w:space="0" w:color="auto"/>
      </w:divBdr>
    </w:div>
    <w:div w:id="396586112">
      <w:bodyDiv w:val="1"/>
      <w:marLeft w:val="0"/>
      <w:marRight w:val="0"/>
      <w:marTop w:val="0"/>
      <w:marBottom w:val="0"/>
      <w:divBdr>
        <w:top w:val="none" w:sz="0" w:space="0" w:color="auto"/>
        <w:left w:val="none" w:sz="0" w:space="0" w:color="auto"/>
        <w:bottom w:val="none" w:sz="0" w:space="0" w:color="auto"/>
        <w:right w:val="none" w:sz="0" w:space="0" w:color="auto"/>
      </w:divBdr>
    </w:div>
    <w:div w:id="446237052">
      <w:bodyDiv w:val="1"/>
      <w:marLeft w:val="0"/>
      <w:marRight w:val="0"/>
      <w:marTop w:val="0"/>
      <w:marBottom w:val="0"/>
      <w:divBdr>
        <w:top w:val="none" w:sz="0" w:space="0" w:color="auto"/>
        <w:left w:val="none" w:sz="0" w:space="0" w:color="auto"/>
        <w:bottom w:val="none" w:sz="0" w:space="0" w:color="auto"/>
        <w:right w:val="none" w:sz="0" w:space="0" w:color="auto"/>
      </w:divBdr>
    </w:div>
    <w:div w:id="454131519">
      <w:bodyDiv w:val="1"/>
      <w:marLeft w:val="0"/>
      <w:marRight w:val="0"/>
      <w:marTop w:val="0"/>
      <w:marBottom w:val="0"/>
      <w:divBdr>
        <w:top w:val="none" w:sz="0" w:space="0" w:color="auto"/>
        <w:left w:val="none" w:sz="0" w:space="0" w:color="auto"/>
        <w:bottom w:val="none" w:sz="0" w:space="0" w:color="auto"/>
        <w:right w:val="none" w:sz="0" w:space="0" w:color="auto"/>
      </w:divBdr>
    </w:div>
    <w:div w:id="472254099">
      <w:bodyDiv w:val="1"/>
      <w:marLeft w:val="0"/>
      <w:marRight w:val="0"/>
      <w:marTop w:val="0"/>
      <w:marBottom w:val="0"/>
      <w:divBdr>
        <w:top w:val="none" w:sz="0" w:space="0" w:color="auto"/>
        <w:left w:val="none" w:sz="0" w:space="0" w:color="auto"/>
        <w:bottom w:val="none" w:sz="0" w:space="0" w:color="auto"/>
        <w:right w:val="none" w:sz="0" w:space="0" w:color="auto"/>
      </w:divBdr>
    </w:div>
    <w:div w:id="478696301">
      <w:bodyDiv w:val="1"/>
      <w:marLeft w:val="0"/>
      <w:marRight w:val="0"/>
      <w:marTop w:val="0"/>
      <w:marBottom w:val="0"/>
      <w:divBdr>
        <w:top w:val="none" w:sz="0" w:space="0" w:color="auto"/>
        <w:left w:val="none" w:sz="0" w:space="0" w:color="auto"/>
        <w:bottom w:val="none" w:sz="0" w:space="0" w:color="auto"/>
        <w:right w:val="none" w:sz="0" w:space="0" w:color="auto"/>
      </w:divBdr>
    </w:div>
    <w:div w:id="484199085">
      <w:bodyDiv w:val="1"/>
      <w:marLeft w:val="0"/>
      <w:marRight w:val="0"/>
      <w:marTop w:val="0"/>
      <w:marBottom w:val="0"/>
      <w:divBdr>
        <w:top w:val="none" w:sz="0" w:space="0" w:color="auto"/>
        <w:left w:val="none" w:sz="0" w:space="0" w:color="auto"/>
        <w:bottom w:val="none" w:sz="0" w:space="0" w:color="auto"/>
        <w:right w:val="none" w:sz="0" w:space="0" w:color="auto"/>
      </w:divBdr>
    </w:div>
    <w:div w:id="509491389">
      <w:bodyDiv w:val="1"/>
      <w:marLeft w:val="0"/>
      <w:marRight w:val="0"/>
      <w:marTop w:val="0"/>
      <w:marBottom w:val="0"/>
      <w:divBdr>
        <w:top w:val="none" w:sz="0" w:space="0" w:color="auto"/>
        <w:left w:val="none" w:sz="0" w:space="0" w:color="auto"/>
        <w:bottom w:val="none" w:sz="0" w:space="0" w:color="auto"/>
        <w:right w:val="none" w:sz="0" w:space="0" w:color="auto"/>
      </w:divBdr>
    </w:div>
    <w:div w:id="515197178">
      <w:bodyDiv w:val="1"/>
      <w:marLeft w:val="0"/>
      <w:marRight w:val="0"/>
      <w:marTop w:val="0"/>
      <w:marBottom w:val="0"/>
      <w:divBdr>
        <w:top w:val="none" w:sz="0" w:space="0" w:color="auto"/>
        <w:left w:val="none" w:sz="0" w:space="0" w:color="auto"/>
        <w:bottom w:val="none" w:sz="0" w:space="0" w:color="auto"/>
        <w:right w:val="none" w:sz="0" w:space="0" w:color="auto"/>
      </w:divBdr>
    </w:div>
    <w:div w:id="553809455">
      <w:bodyDiv w:val="1"/>
      <w:marLeft w:val="0"/>
      <w:marRight w:val="0"/>
      <w:marTop w:val="0"/>
      <w:marBottom w:val="0"/>
      <w:divBdr>
        <w:top w:val="none" w:sz="0" w:space="0" w:color="auto"/>
        <w:left w:val="none" w:sz="0" w:space="0" w:color="auto"/>
        <w:bottom w:val="none" w:sz="0" w:space="0" w:color="auto"/>
        <w:right w:val="none" w:sz="0" w:space="0" w:color="auto"/>
      </w:divBdr>
    </w:div>
    <w:div w:id="577521079">
      <w:bodyDiv w:val="1"/>
      <w:marLeft w:val="0"/>
      <w:marRight w:val="0"/>
      <w:marTop w:val="0"/>
      <w:marBottom w:val="0"/>
      <w:divBdr>
        <w:top w:val="none" w:sz="0" w:space="0" w:color="auto"/>
        <w:left w:val="none" w:sz="0" w:space="0" w:color="auto"/>
        <w:bottom w:val="none" w:sz="0" w:space="0" w:color="auto"/>
        <w:right w:val="none" w:sz="0" w:space="0" w:color="auto"/>
      </w:divBdr>
    </w:div>
    <w:div w:id="585388052">
      <w:bodyDiv w:val="1"/>
      <w:marLeft w:val="0"/>
      <w:marRight w:val="0"/>
      <w:marTop w:val="0"/>
      <w:marBottom w:val="0"/>
      <w:divBdr>
        <w:top w:val="none" w:sz="0" w:space="0" w:color="auto"/>
        <w:left w:val="none" w:sz="0" w:space="0" w:color="auto"/>
        <w:bottom w:val="none" w:sz="0" w:space="0" w:color="auto"/>
        <w:right w:val="none" w:sz="0" w:space="0" w:color="auto"/>
      </w:divBdr>
    </w:div>
    <w:div w:id="593441347">
      <w:bodyDiv w:val="1"/>
      <w:marLeft w:val="0"/>
      <w:marRight w:val="0"/>
      <w:marTop w:val="0"/>
      <w:marBottom w:val="0"/>
      <w:divBdr>
        <w:top w:val="none" w:sz="0" w:space="0" w:color="auto"/>
        <w:left w:val="none" w:sz="0" w:space="0" w:color="auto"/>
        <w:bottom w:val="none" w:sz="0" w:space="0" w:color="auto"/>
        <w:right w:val="none" w:sz="0" w:space="0" w:color="auto"/>
      </w:divBdr>
    </w:div>
    <w:div w:id="594050121">
      <w:bodyDiv w:val="1"/>
      <w:marLeft w:val="0"/>
      <w:marRight w:val="0"/>
      <w:marTop w:val="0"/>
      <w:marBottom w:val="0"/>
      <w:divBdr>
        <w:top w:val="none" w:sz="0" w:space="0" w:color="auto"/>
        <w:left w:val="none" w:sz="0" w:space="0" w:color="auto"/>
        <w:bottom w:val="none" w:sz="0" w:space="0" w:color="auto"/>
        <w:right w:val="none" w:sz="0" w:space="0" w:color="auto"/>
      </w:divBdr>
    </w:div>
    <w:div w:id="613287947">
      <w:bodyDiv w:val="1"/>
      <w:marLeft w:val="0"/>
      <w:marRight w:val="0"/>
      <w:marTop w:val="0"/>
      <w:marBottom w:val="0"/>
      <w:divBdr>
        <w:top w:val="none" w:sz="0" w:space="0" w:color="auto"/>
        <w:left w:val="none" w:sz="0" w:space="0" w:color="auto"/>
        <w:bottom w:val="none" w:sz="0" w:space="0" w:color="auto"/>
        <w:right w:val="none" w:sz="0" w:space="0" w:color="auto"/>
      </w:divBdr>
    </w:div>
    <w:div w:id="638731662">
      <w:bodyDiv w:val="1"/>
      <w:marLeft w:val="0"/>
      <w:marRight w:val="0"/>
      <w:marTop w:val="0"/>
      <w:marBottom w:val="0"/>
      <w:divBdr>
        <w:top w:val="none" w:sz="0" w:space="0" w:color="auto"/>
        <w:left w:val="none" w:sz="0" w:space="0" w:color="auto"/>
        <w:bottom w:val="none" w:sz="0" w:space="0" w:color="auto"/>
        <w:right w:val="none" w:sz="0" w:space="0" w:color="auto"/>
      </w:divBdr>
    </w:div>
    <w:div w:id="646401085">
      <w:bodyDiv w:val="1"/>
      <w:marLeft w:val="0"/>
      <w:marRight w:val="0"/>
      <w:marTop w:val="0"/>
      <w:marBottom w:val="0"/>
      <w:divBdr>
        <w:top w:val="none" w:sz="0" w:space="0" w:color="auto"/>
        <w:left w:val="none" w:sz="0" w:space="0" w:color="auto"/>
        <w:bottom w:val="none" w:sz="0" w:space="0" w:color="auto"/>
        <w:right w:val="none" w:sz="0" w:space="0" w:color="auto"/>
      </w:divBdr>
    </w:div>
    <w:div w:id="657655057">
      <w:bodyDiv w:val="1"/>
      <w:marLeft w:val="0"/>
      <w:marRight w:val="0"/>
      <w:marTop w:val="0"/>
      <w:marBottom w:val="0"/>
      <w:divBdr>
        <w:top w:val="none" w:sz="0" w:space="0" w:color="auto"/>
        <w:left w:val="none" w:sz="0" w:space="0" w:color="auto"/>
        <w:bottom w:val="none" w:sz="0" w:space="0" w:color="auto"/>
        <w:right w:val="none" w:sz="0" w:space="0" w:color="auto"/>
      </w:divBdr>
    </w:div>
    <w:div w:id="662466872">
      <w:bodyDiv w:val="1"/>
      <w:marLeft w:val="0"/>
      <w:marRight w:val="0"/>
      <w:marTop w:val="0"/>
      <w:marBottom w:val="0"/>
      <w:divBdr>
        <w:top w:val="none" w:sz="0" w:space="0" w:color="auto"/>
        <w:left w:val="none" w:sz="0" w:space="0" w:color="auto"/>
        <w:bottom w:val="none" w:sz="0" w:space="0" w:color="auto"/>
        <w:right w:val="none" w:sz="0" w:space="0" w:color="auto"/>
      </w:divBdr>
    </w:div>
    <w:div w:id="678964629">
      <w:bodyDiv w:val="1"/>
      <w:marLeft w:val="0"/>
      <w:marRight w:val="0"/>
      <w:marTop w:val="0"/>
      <w:marBottom w:val="0"/>
      <w:divBdr>
        <w:top w:val="none" w:sz="0" w:space="0" w:color="auto"/>
        <w:left w:val="none" w:sz="0" w:space="0" w:color="auto"/>
        <w:bottom w:val="none" w:sz="0" w:space="0" w:color="auto"/>
        <w:right w:val="none" w:sz="0" w:space="0" w:color="auto"/>
      </w:divBdr>
    </w:div>
    <w:div w:id="699285372">
      <w:bodyDiv w:val="1"/>
      <w:marLeft w:val="0"/>
      <w:marRight w:val="0"/>
      <w:marTop w:val="0"/>
      <w:marBottom w:val="0"/>
      <w:divBdr>
        <w:top w:val="none" w:sz="0" w:space="0" w:color="auto"/>
        <w:left w:val="none" w:sz="0" w:space="0" w:color="auto"/>
        <w:bottom w:val="none" w:sz="0" w:space="0" w:color="auto"/>
        <w:right w:val="none" w:sz="0" w:space="0" w:color="auto"/>
      </w:divBdr>
    </w:div>
    <w:div w:id="714043138">
      <w:bodyDiv w:val="1"/>
      <w:marLeft w:val="0"/>
      <w:marRight w:val="0"/>
      <w:marTop w:val="0"/>
      <w:marBottom w:val="0"/>
      <w:divBdr>
        <w:top w:val="none" w:sz="0" w:space="0" w:color="auto"/>
        <w:left w:val="none" w:sz="0" w:space="0" w:color="auto"/>
        <w:bottom w:val="none" w:sz="0" w:space="0" w:color="auto"/>
        <w:right w:val="none" w:sz="0" w:space="0" w:color="auto"/>
      </w:divBdr>
    </w:div>
    <w:div w:id="732196059">
      <w:bodyDiv w:val="1"/>
      <w:marLeft w:val="0"/>
      <w:marRight w:val="0"/>
      <w:marTop w:val="0"/>
      <w:marBottom w:val="0"/>
      <w:divBdr>
        <w:top w:val="none" w:sz="0" w:space="0" w:color="auto"/>
        <w:left w:val="none" w:sz="0" w:space="0" w:color="auto"/>
        <w:bottom w:val="none" w:sz="0" w:space="0" w:color="auto"/>
        <w:right w:val="none" w:sz="0" w:space="0" w:color="auto"/>
      </w:divBdr>
    </w:div>
    <w:div w:id="742527640">
      <w:bodyDiv w:val="1"/>
      <w:marLeft w:val="0"/>
      <w:marRight w:val="0"/>
      <w:marTop w:val="0"/>
      <w:marBottom w:val="0"/>
      <w:divBdr>
        <w:top w:val="none" w:sz="0" w:space="0" w:color="auto"/>
        <w:left w:val="none" w:sz="0" w:space="0" w:color="auto"/>
        <w:bottom w:val="none" w:sz="0" w:space="0" w:color="auto"/>
        <w:right w:val="none" w:sz="0" w:space="0" w:color="auto"/>
      </w:divBdr>
    </w:div>
    <w:div w:id="770126751">
      <w:bodyDiv w:val="1"/>
      <w:marLeft w:val="0"/>
      <w:marRight w:val="0"/>
      <w:marTop w:val="0"/>
      <w:marBottom w:val="0"/>
      <w:divBdr>
        <w:top w:val="none" w:sz="0" w:space="0" w:color="auto"/>
        <w:left w:val="none" w:sz="0" w:space="0" w:color="auto"/>
        <w:bottom w:val="none" w:sz="0" w:space="0" w:color="auto"/>
        <w:right w:val="none" w:sz="0" w:space="0" w:color="auto"/>
      </w:divBdr>
    </w:div>
    <w:div w:id="793138364">
      <w:bodyDiv w:val="1"/>
      <w:marLeft w:val="0"/>
      <w:marRight w:val="0"/>
      <w:marTop w:val="0"/>
      <w:marBottom w:val="0"/>
      <w:divBdr>
        <w:top w:val="none" w:sz="0" w:space="0" w:color="auto"/>
        <w:left w:val="none" w:sz="0" w:space="0" w:color="auto"/>
        <w:bottom w:val="none" w:sz="0" w:space="0" w:color="auto"/>
        <w:right w:val="none" w:sz="0" w:space="0" w:color="auto"/>
      </w:divBdr>
    </w:div>
    <w:div w:id="828059614">
      <w:bodyDiv w:val="1"/>
      <w:marLeft w:val="0"/>
      <w:marRight w:val="0"/>
      <w:marTop w:val="0"/>
      <w:marBottom w:val="0"/>
      <w:divBdr>
        <w:top w:val="none" w:sz="0" w:space="0" w:color="auto"/>
        <w:left w:val="none" w:sz="0" w:space="0" w:color="auto"/>
        <w:bottom w:val="none" w:sz="0" w:space="0" w:color="auto"/>
        <w:right w:val="none" w:sz="0" w:space="0" w:color="auto"/>
      </w:divBdr>
    </w:div>
    <w:div w:id="828978300">
      <w:bodyDiv w:val="1"/>
      <w:marLeft w:val="0"/>
      <w:marRight w:val="0"/>
      <w:marTop w:val="0"/>
      <w:marBottom w:val="0"/>
      <w:divBdr>
        <w:top w:val="none" w:sz="0" w:space="0" w:color="auto"/>
        <w:left w:val="none" w:sz="0" w:space="0" w:color="auto"/>
        <w:bottom w:val="none" w:sz="0" w:space="0" w:color="auto"/>
        <w:right w:val="none" w:sz="0" w:space="0" w:color="auto"/>
      </w:divBdr>
    </w:div>
    <w:div w:id="842628333">
      <w:bodyDiv w:val="1"/>
      <w:marLeft w:val="0"/>
      <w:marRight w:val="0"/>
      <w:marTop w:val="0"/>
      <w:marBottom w:val="0"/>
      <w:divBdr>
        <w:top w:val="none" w:sz="0" w:space="0" w:color="auto"/>
        <w:left w:val="none" w:sz="0" w:space="0" w:color="auto"/>
        <w:bottom w:val="none" w:sz="0" w:space="0" w:color="auto"/>
        <w:right w:val="none" w:sz="0" w:space="0" w:color="auto"/>
      </w:divBdr>
    </w:div>
    <w:div w:id="853804946">
      <w:bodyDiv w:val="1"/>
      <w:marLeft w:val="0"/>
      <w:marRight w:val="0"/>
      <w:marTop w:val="0"/>
      <w:marBottom w:val="0"/>
      <w:divBdr>
        <w:top w:val="none" w:sz="0" w:space="0" w:color="auto"/>
        <w:left w:val="none" w:sz="0" w:space="0" w:color="auto"/>
        <w:bottom w:val="none" w:sz="0" w:space="0" w:color="auto"/>
        <w:right w:val="none" w:sz="0" w:space="0" w:color="auto"/>
      </w:divBdr>
    </w:div>
    <w:div w:id="858156791">
      <w:bodyDiv w:val="1"/>
      <w:marLeft w:val="0"/>
      <w:marRight w:val="0"/>
      <w:marTop w:val="0"/>
      <w:marBottom w:val="0"/>
      <w:divBdr>
        <w:top w:val="none" w:sz="0" w:space="0" w:color="auto"/>
        <w:left w:val="none" w:sz="0" w:space="0" w:color="auto"/>
        <w:bottom w:val="none" w:sz="0" w:space="0" w:color="auto"/>
        <w:right w:val="none" w:sz="0" w:space="0" w:color="auto"/>
      </w:divBdr>
    </w:div>
    <w:div w:id="879316501">
      <w:bodyDiv w:val="1"/>
      <w:marLeft w:val="0"/>
      <w:marRight w:val="0"/>
      <w:marTop w:val="0"/>
      <w:marBottom w:val="0"/>
      <w:divBdr>
        <w:top w:val="none" w:sz="0" w:space="0" w:color="auto"/>
        <w:left w:val="none" w:sz="0" w:space="0" w:color="auto"/>
        <w:bottom w:val="none" w:sz="0" w:space="0" w:color="auto"/>
        <w:right w:val="none" w:sz="0" w:space="0" w:color="auto"/>
      </w:divBdr>
    </w:div>
    <w:div w:id="893781623">
      <w:bodyDiv w:val="1"/>
      <w:marLeft w:val="0"/>
      <w:marRight w:val="0"/>
      <w:marTop w:val="0"/>
      <w:marBottom w:val="0"/>
      <w:divBdr>
        <w:top w:val="none" w:sz="0" w:space="0" w:color="auto"/>
        <w:left w:val="none" w:sz="0" w:space="0" w:color="auto"/>
        <w:bottom w:val="none" w:sz="0" w:space="0" w:color="auto"/>
        <w:right w:val="none" w:sz="0" w:space="0" w:color="auto"/>
      </w:divBdr>
    </w:div>
    <w:div w:id="916944242">
      <w:bodyDiv w:val="1"/>
      <w:marLeft w:val="0"/>
      <w:marRight w:val="0"/>
      <w:marTop w:val="0"/>
      <w:marBottom w:val="0"/>
      <w:divBdr>
        <w:top w:val="none" w:sz="0" w:space="0" w:color="auto"/>
        <w:left w:val="none" w:sz="0" w:space="0" w:color="auto"/>
        <w:bottom w:val="none" w:sz="0" w:space="0" w:color="auto"/>
        <w:right w:val="none" w:sz="0" w:space="0" w:color="auto"/>
      </w:divBdr>
    </w:div>
    <w:div w:id="917981350">
      <w:bodyDiv w:val="1"/>
      <w:marLeft w:val="0"/>
      <w:marRight w:val="0"/>
      <w:marTop w:val="0"/>
      <w:marBottom w:val="0"/>
      <w:divBdr>
        <w:top w:val="none" w:sz="0" w:space="0" w:color="auto"/>
        <w:left w:val="none" w:sz="0" w:space="0" w:color="auto"/>
        <w:bottom w:val="none" w:sz="0" w:space="0" w:color="auto"/>
        <w:right w:val="none" w:sz="0" w:space="0" w:color="auto"/>
      </w:divBdr>
    </w:div>
    <w:div w:id="952638947">
      <w:bodyDiv w:val="1"/>
      <w:marLeft w:val="0"/>
      <w:marRight w:val="0"/>
      <w:marTop w:val="0"/>
      <w:marBottom w:val="0"/>
      <w:divBdr>
        <w:top w:val="none" w:sz="0" w:space="0" w:color="auto"/>
        <w:left w:val="none" w:sz="0" w:space="0" w:color="auto"/>
        <w:bottom w:val="none" w:sz="0" w:space="0" w:color="auto"/>
        <w:right w:val="none" w:sz="0" w:space="0" w:color="auto"/>
      </w:divBdr>
    </w:div>
    <w:div w:id="980842505">
      <w:bodyDiv w:val="1"/>
      <w:marLeft w:val="0"/>
      <w:marRight w:val="0"/>
      <w:marTop w:val="0"/>
      <w:marBottom w:val="0"/>
      <w:divBdr>
        <w:top w:val="none" w:sz="0" w:space="0" w:color="auto"/>
        <w:left w:val="none" w:sz="0" w:space="0" w:color="auto"/>
        <w:bottom w:val="none" w:sz="0" w:space="0" w:color="auto"/>
        <w:right w:val="none" w:sz="0" w:space="0" w:color="auto"/>
      </w:divBdr>
    </w:div>
    <w:div w:id="987368129">
      <w:bodyDiv w:val="1"/>
      <w:marLeft w:val="0"/>
      <w:marRight w:val="0"/>
      <w:marTop w:val="0"/>
      <w:marBottom w:val="0"/>
      <w:divBdr>
        <w:top w:val="none" w:sz="0" w:space="0" w:color="auto"/>
        <w:left w:val="none" w:sz="0" w:space="0" w:color="auto"/>
        <w:bottom w:val="none" w:sz="0" w:space="0" w:color="auto"/>
        <w:right w:val="none" w:sz="0" w:space="0" w:color="auto"/>
      </w:divBdr>
    </w:div>
    <w:div w:id="1035229807">
      <w:bodyDiv w:val="1"/>
      <w:marLeft w:val="0"/>
      <w:marRight w:val="0"/>
      <w:marTop w:val="0"/>
      <w:marBottom w:val="0"/>
      <w:divBdr>
        <w:top w:val="none" w:sz="0" w:space="0" w:color="auto"/>
        <w:left w:val="none" w:sz="0" w:space="0" w:color="auto"/>
        <w:bottom w:val="none" w:sz="0" w:space="0" w:color="auto"/>
        <w:right w:val="none" w:sz="0" w:space="0" w:color="auto"/>
      </w:divBdr>
    </w:div>
    <w:div w:id="1044257262">
      <w:bodyDiv w:val="1"/>
      <w:marLeft w:val="0"/>
      <w:marRight w:val="0"/>
      <w:marTop w:val="0"/>
      <w:marBottom w:val="0"/>
      <w:divBdr>
        <w:top w:val="none" w:sz="0" w:space="0" w:color="auto"/>
        <w:left w:val="none" w:sz="0" w:space="0" w:color="auto"/>
        <w:bottom w:val="none" w:sz="0" w:space="0" w:color="auto"/>
        <w:right w:val="none" w:sz="0" w:space="0" w:color="auto"/>
      </w:divBdr>
    </w:div>
    <w:div w:id="1063796254">
      <w:bodyDiv w:val="1"/>
      <w:marLeft w:val="0"/>
      <w:marRight w:val="0"/>
      <w:marTop w:val="0"/>
      <w:marBottom w:val="0"/>
      <w:divBdr>
        <w:top w:val="none" w:sz="0" w:space="0" w:color="auto"/>
        <w:left w:val="none" w:sz="0" w:space="0" w:color="auto"/>
        <w:bottom w:val="none" w:sz="0" w:space="0" w:color="auto"/>
        <w:right w:val="none" w:sz="0" w:space="0" w:color="auto"/>
      </w:divBdr>
    </w:div>
    <w:div w:id="1068960266">
      <w:bodyDiv w:val="1"/>
      <w:marLeft w:val="0"/>
      <w:marRight w:val="0"/>
      <w:marTop w:val="0"/>
      <w:marBottom w:val="0"/>
      <w:divBdr>
        <w:top w:val="none" w:sz="0" w:space="0" w:color="auto"/>
        <w:left w:val="none" w:sz="0" w:space="0" w:color="auto"/>
        <w:bottom w:val="none" w:sz="0" w:space="0" w:color="auto"/>
        <w:right w:val="none" w:sz="0" w:space="0" w:color="auto"/>
      </w:divBdr>
    </w:div>
    <w:div w:id="1098257264">
      <w:bodyDiv w:val="1"/>
      <w:marLeft w:val="0"/>
      <w:marRight w:val="0"/>
      <w:marTop w:val="0"/>
      <w:marBottom w:val="0"/>
      <w:divBdr>
        <w:top w:val="none" w:sz="0" w:space="0" w:color="auto"/>
        <w:left w:val="none" w:sz="0" w:space="0" w:color="auto"/>
        <w:bottom w:val="none" w:sz="0" w:space="0" w:color="auto"/>
        <w:right w:val="none" w:sz="0" w:space="0" w:color="auto"/>
      </w:divBdr>
    </w:div>
    <w:div w:id="1107697695">
      <w:bodyDiv w:val="1"/>
      <w:marLeft w:val="0"/>
      <w:marRight w:val="0"/>
      <w:marTop w:val="0"/>
      <w:marBottom w:val="0"/>
      <w:divBdr>
        <w:top w:val="none" w:sz="0" w:space="0" w:color="auto"/>
        <w:left w:val="none" w:sz="0" w:space="0" w:color="auto"/>
        <w:bottom w:val="none" w:sz="0" w:space="0" w:color="auto"/>
        <w:right w:val="none" w:sz="0" w:space="0" w:color="auto"/>
      </w:divBdr>
    </w:div>
    <w:div w:id="1135485825">
      <w:bodyDiv w:val="1"/>
      <w:marLeft w:val="0"/>
      <w:marRight w:val="0"/>
      <w:marTop w:val="0"/>
      <w:marBottom w:val="0"/>
      <w:divBdr>
        <w:top w:val="none" w:sz="0" w:space="0" w:color="auto"/>
        <w:left w:val="none" w:sz="0" w:space="0" w:color="auto"/>
        <w:bottom w:val="none" w:sz="0" w:space="0" w:color="auto"/>
        <w:right w:val="none" w:sz="0" w:space="0" w:color="auto"/>
      </w:divBdr>
    </w:div>
    <w:div w:id="1243759779">
      <w:bodyDiv w:val="1"/>
      <w:marLeft w:val="0"/>
      <w:marRight w:val="0"/>
      <w:marTop w:val="0"/>
      <w:marBottom w:val="0"/>
      <w:divBdr>
        <w:top w:val="none" w:sz="0" w:space="0" w:color="auto"/>
        <w:left w:val="none" w:sz="0" w:space="0" w:color="auto"/>
        <w:bottom w:val="none" w:sz="0" w:space="0" w:color="auto"/>
        <w:right w:val="none" w:sz="0" w:space="0" w:color="auto"/>
      </w:divBdr>
    </w:div>
    <w:div w:id="1258245972">
      <w:bodyDiv w:val="1"/>
      <w:marLeft w:val="0"/>
      <w:marRight w:val="0"/>
      <w:marTop w:val="0"/>
      <w:marBottom w:val="0"/>
      <w:divBdr>
        <w:top w:val="none" w:sz="0" w:space="0" w:color="auto"/>
        <w:left w:val="none" w:sz="0" w:space="0" w:color="auto"/>
        <w:bottom w:val="none" w:sz="0" w:space="0" w:color="auto"/>
        <w:right w:val="none" w:sz="0" w:space="0" w:color="auto"/>
      </w:divBdr>
    </w:div>
    <w:div w:id="1258518347">
      <w:bodyDiv w:val="1"/>
      <w:marLeft w:val="0"/>
      <w:marRight w:val="0"/>
      <w:marTop w:val="0"/>
      <w:marBottom w:val="0"/>
      <w:divBdr>
        <w:top w:val="none" w:sz="0" w:space="0" w:color="auto"/>
        <w:left w:val="none" w:sz="0" w:space="0" w:color="auto"/>
        <w:bottom w:val="none" w:sz="0" w:space="0" w:color="auto"/>
        <w:right w:val="none" w:sz="0" w:space="0" w:color="auto"/>
      </w:divBdr>
    </w:div>
    <w:div w:id="1266428081">
      <w:bodyDiv w:val="1"/>
      <w:marLeft w:val="0"/>
      <w:marRight w:val="0"/>
      <w:marTop w:val="0"/>
      <w:marBottom w:val="0"/>
      <w:divBdr>
        <w:top w:val="none" w:sz="0" w:space="0" w:color="auto"/>
        <w:left w:val="none" w:sz="0" w:space="0" w:color="auto"/>
        <w:bottom w:val="none" w:sz="0" w:space="0" w:color="auto"/>
        <w:right w:val="none" w:sz="0" w:space="0" w:color="auto"/>
      </w:divBdr>
    </w:div>
    <w:div w:id="1273365490">
      <w:bodyDiv w:val="1"/>
      <w:marLeft w:val="0"/>
      <w:marRight w:val="0"/>
      <w:marTop w:val="0"/>
      <w:marBottom w:val="0"/>
      <w:divBdr>
        <w:top w:val="none" w:sz="0" w:space="0" w:color="auto"/>
        <w:left w:val="none" w:sz="0" w:space="0" w:color="auto"/>
        <w:bottom w:val="none" w:sz="0" w:space="0" w:color="auto"/>
        <w:right w:val="none" w:sz="0" w:space="0" w:color="auto"/>
      </w:divBdr>
    </w:div>
    <w:div w:id="1289703816">
      <w:bodyDiv w:val="1"/>
      <w:marLeft w:val="0"/>
      <w:marRight w:val="0"/>
      <w:marTop w:val="0"/>
      <w:marBottom w:val="0"/>
      <w:divBdr>
        <w:top w:val="none" w:sz="0" w:space="0" w:color="auto"/>
        <w:left w:val="none" w:sz="0" w:space="0" w:color="auto"/>
        <w:bottom w:val="none" w:sz="0" w:space="0" w:color="auto"/>
        <w:right w:val="none" w:sz="0" w:space="0" w:color="auto"/>
      </w:divBdr>
    </w:div>
    <w:div w:id="1290668288">
      <w:bodyDiv w:val="1"/>
      <w:marLeft w:val="0"/>
      <w:marRight w:val="0"/>
      <w:marTop w:val="0"/>
      <w:marBottom w:val="0"/>
      <w:divBdr>
        <w:top w:val="none" w:sz="0" w:space="0" w:color="auto"/>
        <w:left w:val="none" w:sz="0" w:space="0" w:color="auto"/>
        <w:bottom w:val="none" w:sz="0" w:space="0" w:color="auto"/>
        <w:right w:val="none" w:sz="0" w:space="0" w:color="auto"/>
      </w:divBdr>
    </w:div>
    <w:div w:id="1298144384">
      <w:bodyDiv w:val="1"/>
      <w:marLeft w:val="0"/>
      <w:marRight w:val="0"/>
      <w:marTop w:val="0"/>
      <w:marBottom w:val="0"/>
      <w:divBdr>
        <w:top w:val="none" w:sz="0" w:space="0" w:color="auto"/>
        <w:left w:val="none" w:sz="0" w:space="0" w:color="auto"/>
        <w:bottom w:val="none" w:sz="0" w:space="0" w:color="auto"/>
        <w:right w:val="none" w:sz="0" w:space="0" w:color="auto"/>
      </w:divBdr>
    </w:div>
    <w:div w:id="1298757252">
      <w:bodyDiv w:val="1"/>
      <w:marLeft w:val="0"/>
      <w:marRight w:val="0"/>
      <w:marTop w:val="0"/>
      <w:marBottom w:val="0"/>
      <w:divBdr>
        <w:top w:val="none" w:sz="0" w:space="0" w:color="auto"/>
        <w:left w:val="none" w:sz="0" w:space="0" w:color="auto"/>
        <w:bottom w:val="none" w:sz="0" w:space="0" w:color="auto"/>
        <w:right w:val="none" w:sz="0" w:space="0" w:color="auto"/>
      </w:divBdr>
    </w:div>
    <w:div w:id="1341202699">
      <w:bodyDiv w:val="1"/>
      <w:marLeft w:val="0"/>
      <w:marRight w:val="0"/>
      <w:marTop w:val="0"/>
      <w:marBottom w:val="0"/>
      <w:divBdr>
        <w:top w:val="none" w:sz="0" w:space="0" w:color="auto"/>
        <w:left w:val="none" w:sz="0" w:space="0" w:color="auto"/>
        <w:bottom w:val="none" w:sz="0" w:space="0" w:color="auto"/>
        <w:right w:val="none" w:sz="0" w:space="0" w:color="auto"/>
      </w:divBdr>
    </w:div>
    <w:div w:id="1377312418">
      <w:bodyDiv w:val="1"/>
      <w:marLeft w:val="0"/>
      <w:marRight w:val="0"/>
      <w:marTop w:val="0"/>
      <w:marBottom w:val="0"/>
      <w:divBdr>
        <w:top w:val="none" w:sz="0" w:space="0" w:color="auto"/>
        <w:left w:val="none" w:sz="0" w:space="0" w:color="auto"/>
        <w:bottom w:val="none" w:sz="0" w:space="0" w:color="auto"/>
        <w:right w:val="none" w:sz="0" w:space="0" w:color="auto"/>
      </w:divBdr>
    </w:div>
    <w:div w:id="1385519111">
      <w:bodyDiv w:val="1"/>
      <w:marLeft w:val="0"/>
      <w:marRight w:val="0"/>
      <w:marTop w:val="0"/>
      <w:marBottom w:val="0"/>
      <w:divBdr>
        <w:top w:val="none" w:sz="0" w:space="0" w:color="auto"/>
        <w:left w:val="none" w:sz="0" w:space="0" w:color="auto"/>
        <w:bottom w:val="none" w:sz="0" w:space="0" w:color="auto"/>
        <w:right w:val="none" w:sz="0" w:space="0" w:color="auto"/>
      </w:divBdr>
    </w:div>
    <w:div w:id="1396470037">
      <w:bodyDiv w:val="1"/>
      <w:marLeft w:val="0"/>
      <w:marRight w:val="0"/>
      <w:marTop w:val="0"/>
      <w:marBottom w:val="0"/>
      <w:divBdr>
        <w:top w:val="none" w:sz="0" w:space="0" w:color="auto"/>
        <w:left w:val="none" w:sz="0" w:space="0" w:color="auto"/>
        <w:bottom w:val="none" w:sz="0" w:space="0" w:color="auto"/>
        <w:right w:val="none" w:sz="0" w:space="0" w:color="auto"/>
      </w:divBdr>
    </w:div>
    <w:div w:id="1396900131">
      <w:bodyDiv w:val="1"/>
      <w:marLeft w:val="0"/>
      <w:marRight w:val="0"/>
      <w:marTop w:val="0"/>
      <w:marBottom w:val="0"/>
      <w:divBdr>
        <w:top w:val="none" w:sz="0" w:space="0" w:color="auto"/>
        <w:left w:val="none" w:sz="0" w:space="0" w:color="auto"/>
        <w:bottom w:val="none" w:sz="0" w:space="0" w:color="auto"/>
        <w:right w:val="none" w:sz="0" w:space="0" w:color="auto"/>
      </w:divBdr>
    </w:div>
    <w:div w:id="1446997770">
      <w:bodyDiv w:val="1"/>
      <w:marLeft w:val="0"/>
      <w:marRight w:val="0"/>
      <w:marTop w:val="0"/>
      <w:marBottom w:val="0"/>
      <w:divBdr>
        <w:top w:val="none" w:sz="0" w:space="0" w:color="auto"/>
        <w:left w:val="none" w:sz="0" w:space="0" w:color="auto"/>
        <w:bottom w:val="none" w:sz="0" w:space="0" w:color="auto"/>
        <w:right w:val="none" w:sz="0" w:space="0" w:color="auto"/>
      </w:divBdr>
    </w:div>
    <w:div w:id="1455099108">
      <w:bodyDiv w:val="1"/>
      <w:marLeft w:val="0"/>
      <w:marRight w:val="0"/>
      <w:marTop w:val="0"/>
      <w:marBottom w:val="0"/>
      <w:divBdr>
        <w:top w:val="none" w:sz="0" w:space="0" w:color="auto"/>
        <w:left w:val="none" w:sz="0" w:space="0" w:color="auto"/>
        <w:bottom w:val="none" w:sz="0" w:space="0" w:color="auto"/>
        <w:right w:val="none" w:sz="0" w:space="0" w:color="auto"/>
      </w:divBdr>
    </w:div>
    <w:div w:id="1459564982">
      <w:bodyDiv w:val="1"/>
      <w:marLeft w:val="0"/>
      <w:marRight w:val="0"/>
      <w:marTop w:val="0"/>
      <w:marBottom w:val="0"/>
      <w:divBdr>
        <w:top w:val="none" w:sz="0" w:space="0" w:color="auto"/>
        <w:left w:val="none" w:sz="0" w:space="0" w:color="auto"/>
        <w:bottom w:val="none" w:sz="0" w:space="0" w:color="auto"/>
        <w:right w:val="none" w:sz="0" w:space="0" w:color="auto"/>
      </w:divBdr>
    </w:div>
    <w:div w:id="1480997512">
      <w:bodyDiv w:val="1"/>
      <w:marLeft w:val="0"/>
      <w:marRight w:val="0"/>
      <w:marTop w:val="0"/>
      <w:marBottom w:val="0"/>
      <w:divBdr>
        <w:top w:val="none" w:sz="0" w:space="0" w:color="auto"/>
        <w:left w:val="none" w:sz="0" w:space="0" w:color="auto"/>
        <w:bottom w:val="none" w:sz="0" w:space="0" w:color="auto"/>
        <w:right w:val="none" w:sz="0" w:space="0" w:color="auto"/>
      </w:divBdr>
    </w:div>
    <w:div w:id="1485656743">
      <w:bodyDiv w:val="1"/>
      <w:marLeft w:val="0"/>
      <w:marRight w:val="0"/>
      <w:marTop w:val="0"/>
      <w:marBottom w:val="0"/>
      <w:divBdr>
        <w:top w:val="none" w:sz="0" w:space="0" w:color="auto"/>
        <w:left w:val="none" w:sz="0" w:space="0" w:color="auto"/>
        <w:bottom w:val="none" w:sz="0" w:space="0" w:color="auto"/>
        <w:right w:val="none" w:sz="0" w:space="0" w:color="auto"/>
      </w:divBdr>
    </w:div>
    <w:div w:id="1494299085">
      <w:bodyDiv w:val="1"/>
      <w:marLeft w:val="0"/>
      <w:marRight w:val="0"/>
      <w:marTop w:val="0"/>
      <w:marBottom w:val="0"/>
      <w:divBdr>
        <w:top w:val="none" w:sz="0" w:space="0" w:color="auto"/>
        <w:left w:val="none" w:sz="0" w:space="0" w:color="auto"/>
        <w:bottom w:val="none" w:sz="0" w:space="0" w:color="auto"/>
        <w:right w:val="none" w:sz="0" w:space="0" w:color="auto"/>
      </w:divBdr>
    </w:div>
    <w:div w:id="1500317176">
      <w:bodyDiv w:val="1"/>
      <w:marLeft w:val="0"/>
      <w:marRight w:val="0"/>
      <w:marTop w:val="0"/>
      <w:marBottom w:val="0"/>
      <w:divBdr>
        <w:top w:val="none" w:sz="0" w:space="0" w:color="auto"/>
        <w:left w:val="none" w:sz="0" w:space="0" w:color="auto"/>
        <w:bottom w:val="none" w:sz="0" w:space="0" w:color="auto"/>
        <w:right w:val="none" w:sz="0" w:space="0" w:color="auto"/>
      </w:divBdr>
    </w:div>
    <w:div w:id="1514566531">
      <w:bodyDiv w:val="1"/>
      <w:marLeft w:val="0"/>
      <w:marRight w:val="0"/>
      <w:marTop w:val="0"/>
      <w:marBottom w:val="0"/>
      <w:divBdr>
        <w:top w:val="none" w:sz="0" w:space="0" w:color="auto"/>
        <w:left w:val="none" w:sz="0" w:space="0" w:color="auto"/>
        <w:bottom w:val="none" w:sz="0" w:space="0" w:color="auto"/>
        <w:right w:val="none" w:sz="0" w:space="0" w:color="auto"/>
      </w:divBdr>
    </w:div>
    <w:div w:id="1514609186">
      <w:bodyDiv w:val="1"/>
      <w:marLeft w:val="0"/>
      <w:marRight w:val="0"/>
      <w:marTop w:val="0"/>
      <w:marBottom w:val="0"/>
      <w:divBdr>
        <w:top w:val="none" w:sz="0" w:space="0" w:color="auto"/>
        <w:left w:val="none" w:sz="0" w:space="0" w:color="auto"/>
        <w:bottom w:val="none" w:sz="0" w:space="0" w:color="auto"/>
        <w:right w:val="none" w:sz="0" w:space="0" w:color="auto"/>
      </w:divBdr>
    </w:div>
    <w:div w:id="1536430916">
      <w:bodyDiv w:val="1"/>
      <w:marLeft w:val="0"/>
      <w:marRight w:val="0"/>
      <w:marTop w:val="0"/>
      <w:marBottom w:val="0"/>
      <w:divBdr>
        <w:top w:val="none" w:sz="0" w:space="0" w:color="auto"/>
        <w:left w:val="none" w:sz="0" w:space="0" w:color="auto"/>
        <w:bottom w:val="none" w:sz="0" w:space="0" w:color="auto"/>
        <w:right w:val="none" w:sz="0" w:space="0" w:color="auto"/>
      </w:divBdr>
    </w:div>
    <w:div w:id="1558931327">
      <w:bodyDiv w:val="1"/>
      <w:marLeft w:val="0"/>
      <w:marRight w:val="0"/>
      <w:marTop w:val="0"/>
      <w:marBottom w:val="0"/>
      <w:divBdr>
        <w:top w:val="none" w:sz="0" w:space="0" w:color="auto"/>
        <w:left w:val="none" w:sz="0" w:space="0" w:color="auto"/>
        <w:bottom w:val="none" w:sz="0" w:space="0" w:color="auto"/>
        <w:right w:val="none" w:sz="0" w:space="0" w:color="auto"/>
      </w:divBdr>
    </w:div>
    <w:div w:id="1564759138">
      <w:bodyDiv w:val="1"/>
      <w:marLeft w:val="0"/>
      <w:marRight w:val="0"/>
      <w:marTop w:val="0"/>
      <w:marBottom w:val="0"/>
      <w:divBdr>
        <w:top w:val="none" w:sz="0" w:space="0" w:color="auto"/>
        <w:left w:val="none" w:sz="0" w:space="0" w:color="auto"/>
        <w:bottom w:val="none" w:sz="0" w:space="0" w:color="auto"/>
        <w:right w:val="none" w:sz="0" w:space="0" w:color="auto"/>
      </w:divBdr>
    </w:div>
    <w:div w:id="1592156326">
      <w:bodyDiv w:val="1"/>
      <w:marLeft w:val="0"/>
      <w:marRight w:val="0"/>
      <w:marTop w:val="0"/>
      <w:marBottom w:val="0"/>
      <w:divBdr>
        <w:top w:val="none" w:sz="0" w:space="0" w:color="auto"/>
        <w:left w:val="none" w:sz="0" w:space="0" w:color="auto"/>
        <w:bottom w:val="none" w:sz="0" w:space="0" w:color="auto"/>
        <w:right w:val="none" w:sz="0" w:space="0" w:color="auto"/>
      </w:divBdr>
    </w:div>
    <w:div w:id="1603873247">
      <w:bodyDiv w:val="1"/>
      <w:marLeft w:val="0"/>
      <w:marRight w:val="0"/>
      <w:marTop w:val="0"/>
      <w:marBottom w:val="0"/>
      <w:divBdr>
        <w:top w:val="none" w:sz="0" w:space="0" w:color="auto"/>
        <w:left w:val="none" w:sz="0" w:space="0" w:color="auto"/>
        <w:bottom w:val="none" w:sz="0" w:space="0" w:color="auto"/>
        <w:right w:val="none" w:sz="0" w:space="0" w:color="auto"/>
      </w:divBdr>
    </w:div>
    <w:div w:id="1687054380">
      <w:bodyDiv w:val="1"/>
      <w:marLeft w:val="0"/>
      <w:marRight w:val="0"/>
      <w:marTop w:val="0"/>
      <w:marBottom w:val="0"/>
      <w:divBdr>
        <w:top w:val="none" w:sz="0" w:space="0" w:color="auto"/>
        <w:left w:val="none" w:sz="0" w:space="0" w:color="auto"/>
        <w:bottom w:val="none" w:sz="0" w:space="0" w:color="auto"/>
        <w:right w:val="none" w:sz="0" w:space="0" w:color="auto"/>
      </w:divBdr>
    </w:div>
    <w:div w:id="1705980106">
      <w:bodyDiv w:val="1"/>
      <w:marLeft w:val="0"/>
      <w:marRight w:val="0"/>
      <w:marTop w:val="0"/>
      <w:marBottom w:val="0"/>
      <w:divBdr>
        <w:top w:val="none" w:sz="0" w:space="0" w:color="auto"/>
        <w:left w:val="none" w:sz="0" w:space="0" w:color="auto"/>
        <w:bottom w:val="none" w:sz="0" w:space="0" w:color="auto"/>
        <w:right w:val="none" w:sz="0" w:space="0" w:color="auto"/>
      </w:divBdr>
    </w:div>
    <w:div w:id="1714036267">
      <w:bodyDiv w:val="1"/>
      <w:marLeft w:val="0"/>
      <w:marRight w:val="0"/>
      <w:marTop w:val="0"/>
      <w:marBottom w:val="0"/>
      <w:divBdr>
        <w:top w:val="none" w:sz="0" w:space="0" w:color="auto"/>
        <w:left w:val="none" w:sz="0" w:space="0" w:color="auto"/>
        <w:bottom w:val="none" w:sz="0" w:space="0" w:color="auto"/>
        <w:right w:val="none" w:sz="0" w:space="0" w:color="auto"/>
      </w:divBdr>
    </w:div>
    <w:div w:id="1739476268">
      <w:bodyDiv w:val="1"/>
      <w:marLeft w:val="0"/>
      <w:marRight w:val="0"/>
      <w:marTop w:val="0"/>
      <w:marBottom w:val="0"/>
      <w:divBdr>
        <w:top w:val="none" w:sz="0" w:space="0" w:color="auto"/>
        <w:left w:val="none" w:sz="0" w:space="0" w:color="auto"/>
        <w:bottom w:val="none" w:sz="0" w:space="0" w:color="auto"/>
        <w:right w:val="none" w:sz="0" w:space="0" w:color="auto"/>
      </w:divBdr>
    </w:div>
    <w:div w:id="1747877417">
      <w:bodyDiv w:val="1"/>
      <w:marLeft w:val="0"/>
      <w:marRight w:val="0"/>
      <w:marTop w:val="0"/>
      <w:marBottom w:val="0"/>
      <w:divBdr>
        <w:top w:val="none" w:sz="0" w:space="0" w:color="auto"/>
        <w:left w:val="none" w:sz="0" w:space="0" w:color="auto"/>
        <w:bottom w:val="none" w:sz="0" w:space="0" w:color="auto"/>
        <w:right w:val="none" w:sz="0" w:space="0" w:color="auto"/>
      </w:divBdr>
    </w:div>
    <w:div w:id="1756590107">
      <w:bodyDiv w:val="1"/>
      <w:marLeft w:val="0"/>
      <w:marRight w:val="0"/>
      <w:marTop w:val="0"/>
      <w:marBottom w:val="0"/>
      <w:divBdr>
        <w:top w:val="none" w:sz="0" w:space="0" w:color="auto"/>
        <w:left w:val="none" w:sz="0" w:space="0" w:color="auto"/>
        <w:bottom w:val="none" w:sz="0" w:space="0" w:color="auto"/>
        <w:right w:val="none" w:sz="0" w:space="0" w:color="auto"/>
      </w:divBdr>
      <w:divsChild>
        <w:div w:id="45376462">
          <w:marLeft w:val="0"/>
          <w:marRight w:val="0"/>
          <w:marTop w:val="0"/>
          <w:marBottom w:val="0"/>
          <w:divBdr>
            <w:top w:val="none" w:sz="0" w:space="0" w:color="auto"/>
            <w:left w:val="none" w:sz="0" w:space="0" w:color="auto"/>
            <w:bottom w:val="none" w:sz="0" w:space="0" w:color="auto"/>
            <w:right w:val="none" w:sz="0" w:space="0" w:color="auto"/>
          </w:divBdr>
          <w:divsChild>
            <w:div w:id="1186141319">
              <w:marLeft w:val="0"/>
              <w:marRight w:val="0"/>
              <w:marTop w:val="0"/>
              <w:marBottom w:val="0"/>
              <w:divBdr>
                <w:top w:val="none" w:sz="0" w:space="0" w:color="auto"/>
                <w:left w:val="none" w:sz="0" w:space="0" w:color="auto"/>
                <w:bottom w:val="none" w:sz="0" w:space="0" w:color="auto"/>
                <w:right w:val="none" w:sz="0" w:space="0" w:color="auto"/>
              </w:divBdr>
              <w:divsChild>
                <w:div w:id="760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6236">
      <w:bodyDiv w:val="1"/>
      <w:marLeft w:val="0"/>
      <w:marRight w:val="0"/>
      <w:marTop w:val="0"/>
      <w:marBottom w:val="0"/>
      <w:divBdr>
        <w:top w:val="none" w:sz="0" w:space="0" w:color="auto"/>
        <w:left w:val="none" w:sz="0" w:space="0" w:color="auto"/>
        <w:bottom w:val="none" w:sz="0" w:space="0" w:color="auto"/>
        <w:right w:val="none" w:sz="0" w:space="0" w:color="auto"/>
      </w:divBdr>
    </w:div>
    <w:div w:id="1787850796">
      <w:bodyDiv w:val="1"/>
      <w:marLeft w:val="0"/>
      <w:marRight w:val="0"/>
      <w:marTop w:val="0"/>
      <w:marBottom w:val="0"/>
      <w:divBdr>
        <w:top w:val="none" w:sz="0" w:space="0" w:color="auto"/>
        <w:left w:val="none" w:sz="0" w:space="0" w:color="auto"/>
        <w:bottom w:val="none" w:sz="0" w:space="0" w:color="auto"/>
        <w:right w:val="none" w:sz="0" w:space="0" w:color="auto"/>
      </w:divBdr>
    </w:div>
    <w:div w:id="1791624395">
      <w:bodyDiv w:val="1"/>
      <w:marLeft w:val="0"/>
      <w:marRight w:val="0"/>
      <w:marTop w:val="0"/>
      <w:marBottom w:val="0"/>
      <w:divBdr>
        <w:top w:val="none" w:sz="0" w:space="0" w:color="auto"/>
        <w:left w:val="none" w:sz="0" w:space="0" w:color="auto"/>
        <w:bottom w:val="none" w:sz="0" w:space="0" w:color="auto"/>
        <w:right w:val="none" w:sz="0" w:space="0" w:color="auto"/>
      </w:divBdr>
    </w:div>
    <w:div w:id="1818690639">
      <w:bodyDiv w:val="1"/>
      <w:marLeft w:val="0"/>
      <w:marRight w:val="0"/>
      <w:marTop w:val="0"/>
      <w:marBottom w:val="0"/>
      <w:divBdr>
        <w:top w:val="none" w:sz="0" w:space="0" w:color="auto"/>
        <w:left w:val="none" w:sz="0" w:space="0" w:color="auto"/>
        <w:bottom w:val="none" w:sz="0" w:space="0" w:color="auto"/>
        <w:right w:val="none" w:sz="0" w:space="0" w:color="auto"/>
      </w:divBdr>
    </w:div>
    <w:div w:id="1823348344">
      <w:bodyDiv w:val="1"/>
      <w:marLeft w:val="0"/>
      <w:marRight w:val="0"/>
      <w:marTop w:val="0"/>
      <w:marBottom w:val="0"/>
      <w:divBdr>
        <w:top w:val="none" w:sz="0" w:space="0" w:color="auto"/>
        <w:left w:val="none" w:sz="0" w:space="0" w:color="auto"/>
        <w:bottom w:val="none" w:sz="0" w:space="0" w:color="auto"/>
        <w:right w:val="none" w:sz="0" w:space="0" w:color="auto"/>
      </w:divBdr>
    </w:div>
    <w:div w:id="1824739599">
      <w:bodyDiv w:val="1"/>
      <w:marLeft w:val="0"/>
      <w:marRight w:val="0"/>
      <w:marTop w:val="0"/>
      <w:marBottom w:val="0"/>
      <w:divBdr>
        <w:top w:val="none" w:sz="0" w:space="0" w:color="auto"/>
        <w:left w:val="none" w:sz="0" w:space="0" w:color="auto"/>
        <w:bottom w:val="none" w:sz="0" w:space="0" w:color="auto"/>
        <w:right w:val="none" w:sz="0" w:space="0" w:color="auto"/>
      </w:divBdr>
    </w:div>
    <w:div w:id="1826969073">
      <w:bodyDiv w:val="1"/>
      <w:marLeft w:val="0"/>
      <w:marRight w:val="0"/>
      <w:marTop w:val="0"/>
      <w:marBottom w:val="0"/>
      <w:divBdr>
        <w:top w:val="none" w:sz="0" w:space="0" w:color="auto"/>
        <w:left w:val="none" w:sz="0" w:space="0" w:color="auto"/>
        <w:bottom w:val="none" w:sz="0" w:space="0" w:color="auto"/>
        <w:right w:val="none" w:sz="0" w:space="0" w:color="auto"/>
      </w:divBdr>
    </w:div>
    <w:div w:id="1832331739">
      <w:bodyDiv w:val="1"/>
      <w:marLeft w:val="0"/>
      <w:marRight w:val="0"/>
      <w:marTop w:val="0"/>
      <w:marBottom w:val="0"/>
      <w:divBdr>
        <w:top w:val="none" w:sz="0" w:space="0" w:color="auto"/>
        <w:left w:val="none" w:sz="0" w:space="0" w:color="auto"/>
        <w:bottom w:val="none" w:sz="0" w:space="0" w:color="auto"/>
        <w:right w:val="none" w:sz="0" w:space="0" w:color="auto"/>
      </w:divBdr>
    </w:div>
    <w:div w:id="1854953371">
      <w:bodyDiv w:val="1"/>
      <w:marLeft w:val="0"/>
      <w:marRight w:val="0"/>
      <w:marTop w:val="0"/>
      <w:marBottom w:val="0"/>
      <w:divBdr>
        <w:top w:val="none" w:sz="0" w:space="0" w:color="auto"/>
        <w:left w:val="none" w:sz="0" w:space="0" w:color="auto"/>
        <w:bottom w:val="none" w:sz="0" w:space="0" w:color="auto"/>
        <w:right w:val="none" w:sz="0" w:space="0" w:color="auto"/>
      </w:divBdr>
    </w:div>
    <w:div w:id="1877962733">
      <w:bodyDiv w:val="1"/>
      <w:marLeft w:val="0"/>
      <w:marRight w:val="0"/>
      <w:marTop w:val="0"/>
      <w:marBottom w:val="0"/>
      <w:divBdr>
        <w:top w:val="none" w:sz="0" w:space="0" w:color="auto"/>
        <w:left w:val="none" w:sz="0" w:space="0" w:color="auto"/>
        <w:bottom w:val="none" w:sz="0" w:space="0" w:color="auto"/>
        <w:right w:val="none" w:sz="0" w:space="0" w:color="auto"/>
      </w:divBdr>
    </w:div>
    <w:div w:id="1896890229">
      <w:bodyDiv w:val="1"/>
      <w:marLeft w:val="0"/>
      <w:marRight w:val="0"/>
      <w:marTop w:val="0"/>
      <w:marBottom w:val="0"/>
      <w:divBdr>
        <w:top w:val="none" w:sz="0" w:space="0" w:color="auto"/>
        <w:left w:val="none" w:sz="0" w:space="0" w:color="auto"/>
        <w:bottom w:val="none" w:sz="0" w:space="0" w:color="auto"/>
        <w:right w:val="none" w:sz="0" w:space="0" w:color="auto"/>
      </w:divBdr>
    </w:div>
    <w:div w:id="1902249679">
      <w:bodyDiv w:val="1"/>
      <w:marLeft w:val="0"/>
      <w:marRight w:val="0"/>
      <w:marTop w:val="0"/>
      <w:marBottom w:val="0"/>
      <w:divBdr>
        <w:top w:val="none" w:sz="0" w:space="0" w:color="auto"/>
        <w:left w:val="none" w:sz="0" w:space="0" w:color="auto"/>
        <w:bottom w:val="none" w:sz="0" w:space="0" w:color="auto"/>
        <w:right w:val="none" w:sz="0" w:space="0" w:color="auto"/>
      </w:divBdr>
    </w:div>
    <w:div w:id="1938098888">
      <w:bodyDiv w:val="1"/>
      <w:marLeft w:val="0"/>
      <w:marRight w:val="0"/>
      <w:marTop w:val="0"/>
      <w:marBottom w:val="0"/>
      <w:divBdr>
        <w:top w:val="none" w:sz="0" w:space="0" w:color="auto"/>
        <w:left w:val="none" w:sz="0" w:space="0" w:color="auto"/>
        <w:bottom w:val="none" w:sz="0" w:space="0" w:color="auto"/>
        <w:right w:val="none" w:sz="0" w:space="0" w:color="auto"/>
      </w:divBdr>
    </w:div>
    <w:div w:id="1945069726">
      <w:bodyDiv w:val="1"/>
      <w:marLeft w:val="0"/>
      <w:marRight w:val="0"/>
      <w:marTop w:val="0"/>
      <w:marBottom w:val="0"/>
      <w:divBdr>
        <w:top w:val="none" w:sz="0" w:space="0" w:color="auto"/>
        <w:left w:val="none" w:sz="0" w:space="0" w:color="auto"/>
        <w:bottom w:val="none" w:sz="0" w:space="0" w:color="auto"/>
        <w:right w:val="none" w:sz="0" w:space="0" w:color="auto"/>
      </w:divBdr>
    </w:div>
    <w:div w:id="1952084202">
      <w:bodyDiv w:val="1"/>
      <w:marLeft w:val="0"/>
      <w:marRight w:val="0"/>
      <w:marTop w:val="0"/>
      <w:marBottom w:val="0"/>
      <w:divBdr>
        <w:top w:val="none" w:sz="0" w:space="0" w:color="auto"/>
        <w:left w:val="none" w:sz="0" w:space="0" w:color="auto"/>
        <w:bottom w:val="none" w:sz="0" w:space="0" w:color="auto"/>
        <w:right w:val="none" w:sz="0" w:space="0" w:color="auto"/>
      </w:divBdr>
    </w:div>
    <w:div w:id="1991516738">
      <w:bodyDiv w:val="1"/>
      <w:marLeft w:val="0"/>
      <w:marRight w:val="0"/>
      <w:marTop w:val="0"/>
      <w:marBottom w:val="0"/>
      <w:divBdr>
        <w:top w:val="none" w:sz="0" w:space="0" w:color="auto"/>
        <w:left w:val="none" w:sz="0" w:space="0" w:color="auto"/>
        <w:bottom w:val="none" w:sz="0" w:space="0" w:color="auto"/>
        <w:right w:val="none" w:sz="0" w:space="0" w:color="auto"/>
      </w:divBdr>
    </w:div>
    <w:div w:id="1994675996">
      <w:bodyDiv w:val="1"/>
      <w:marLeft w:val="0"/>
      <w:marRight w:val="0"/>
      <w:marTop w:val="0"/>
      <w:marBottom w:val="0"/>
      <w:divBdr>
        <w:top w:val="none" w:sz="0" w:space="0" w:color="auto"/>
        <w:left w:val="none" w:sz="0" w:space="0" w:color="auto"/>
        <w:bottom w:val="none" w:sz="0" w:space="0" w:color="auto"/>
        <w:right w:val="none" w:sz="0" w:space="0" w:color="auto"/>
      </w:divBdr>
    </w:div>
    <w:div w:id="1995834245">
      <w:bodyDiv w:val="1"/>
      <w:marLeft w:val="0"/>
      <w:marRight w:val="0"/>
      <w:marTop w:val="0"/>
      <w:marBottom w:val="0"/>
      <w:divBdr>
        <w:top w:val="none" w:sz="0" w:space="0" w:color="auto"/>
        <w:left w:val="none" w:sz="0" w:space="0" w:color="auto"/>
        <w:bottom w:val="none" w:sz="0" w:space="0" w:color="auto"/>
        <w:right w:val="none" w:sz="0" w:space="0" w:color="auto"/>
      </w:divBdr>
    </w:div>
    <w:div w:id="2004772835">
      <w:bodyDiv w:val="1"/>
      <w:marLeft w:val="0"/>
      <w:marRight w:val="0"/>
      <w:marTop w:val="0"/>
      <w:marBottom w:val="0"/>
      <w:divBdr>
        <w:top w:val="none" w:sz="0" w:space="0" w:color="auto"/>
        <w:left w:val="none" w:sz="0" w:space="0" w:color="auto"/>
        <w:bottom w:val="none" w:sz="0" w:space="0" w:color="auto"/>
        <w:right w:val="none" w:sz="0" w:space="0" w:color="auto"/>
      </w:divBdr>
    </w:div>
    <w:div w:id="2008169540">
      <w:bodyDiv w:val="1"/>
      <w:marLeft w:val="0"/>
      <w:marRight w:val="0"/>
      <w:marTop w:val="0"/>
      <w:marBottom w:val="0"/>
      <w:divBdr>
        <w:top w:val="none" w:sz="0" w:space="0" w:color="auto"/>
        <w:left w:val="none" w:sz="0" w:space="0" w:color="auto"/>
        <w:bottom w:val="none" w:sz="0" w:space="0" w:color="auto"/>
        <w:right w:val="none" w:sz="0" w:space="0" w:color="auto"/>
      </w:divBdr>
    </w:div>
    <w:div w:id="2016154514">
      <w:bodyDiv w:val="1"/>
      <w:marLeft w:val="0"/>
      <w:marRight w:val="0"/>
      <w:marTop w:val="0"/>
      <w:marBottom w:val="0"/>
      <w:divBdr>
        <w:top w:val="none" w:sz="0" w:space="0" w:color="auto"/>
        <w:left w:val="none" w:sz="0" w:space="0" w:color="auto"/>
        <w:bottom w:val="none" w:sz="0" w:space="0" w:color="auto"/>
        <w:right w:val="none" w:sz="0" w:space="0" w:color="auto"/>
      </w:divBdr>
    </w:div>
    <w:div w:id="2017613790">
      <w:bodyDiv w:val="1"/>
      <w:marLeft w:val="0"/>
      <w:marRight w:val="0"/>
      <w:marTop w:val="0"/>
      <w:marBottom w:val="0"/>
      <w:divBdr>
        <w:top w:val="none" w:sz="0" w:space="0" w:color="auto"/>
        <w:left w:val="none" w:sz="0" w:space="0" w:color="auto"/>
        <w:bottom w:val="none" w:sz="0" w:space="0" w:color="auto"/>
        <w:right w:val="none" w:sz="0" w:space="0" w:color="auto"/>
      </w:divBdr>
    </w:div>
    <w:div w:id="2092390135">
      <w:bodyDiv w:val="1"/>
      <w:marLeft w:val="0"/>
      <w:marRight w:val="0"/>
      <w:marTop w:val="0"/>
      <w:marBottom w:val="0"/>
      <w:divBdr>
        <w:top w:val="none" w:sz="0" w:space="0" w:color="auto"/>
        <w:left w:val="none" w:sz="0" w:space="0" w:color="auto"/>
        <w:bottom w:val="none" w:sz="0" w:space="0" w:color="auto"/>
        <w:right w:val="none" w:sz="0" w:space="0" w:color="auto"/>
      </w:divBdr>
    </w:div>
    <w:div w:id="2120442521">
      <w:bodyDiv w:val="1"/>
      <w:marLeft w:val="0"/>
      <w:marRight w:val="0"/>
      <w:marTop w:val="0"/>
      <w:marBottom w:val="0"/>
      <w:divBdr>
        <w:top w:val="none" w:sz="0" w:space="0" w:color="auto"/>
        <w:left w:val="none" w:sz="0" w:space="0" w:color="auto"/>
        <w:bottom w:val="none" w:sz="0" w:space="0" w:color="auto"/>
        <w:right w:val="none" w:sz="0" w:space="0" w:color="auto"/>
      </w:divBdr>
    </w:div>
    <w:div w:id="2125928751">
      <w:bodyDiv w:val="1"/>
      <w:marLeft w:val="0"/>
      <w:marRight w:val="0"/>
      <w:marTop w:val="0"/>
      <w:marBottom w:val="0"/>
      <w:divBdr>
        <w:top w:val="none" w:sz="0" w:space="0" w:color="auto"/>
        <w:left w:val="none" w:sz="0" w:space="0" w:color="auto"/>
        <w:bottom w:val="none" w:sz="0" w:space="0" w:color="auto"/>
        <w:right w:val="none" w:sz="0" w:space="0" w:color="auto"/>
      </w:divBdr>
    </w:div>
    <w:div w:id="213224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2D0EB-5239-4B16-8C59-6B74530A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12028</Words>
  <Characters>70969</Characters>
  <Application>Microsoft Office Word</Application>
  <DocSecurity>0</DocSecurity>
  <Lines>591</Lines>
  <Paragraphs>165</Paragraphs>
  <ScaleCrop>false</ScaleCrop>
  <HeadingPairs>
    <vt:vector size="2" baseType="variant">
      <vt:variant>
        <vt:lpstr>Název</vt:lpstr>
      </vt:variant>
      <vt:variant>
        <vt:i4>1</vt:i4>
      </vt:variant>
    </vt:vector>
  </HeadingPairs>
  <TitlesOfParts>
    <vt:vector size="1" baseType="lpstr">
      <vt:lpstr/>
    </vt:vector>
  </TitlesOfParts>
  <Company>AQE advisors, a.s.</Company>
  <LinksUpToDate>false</LinksUpToDate>
  <CharactersWithSpaces>82832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Brychta</dc:creator>
  <cp:lastModifiedBy>marie.jedlickova</cp:lastModifiedBy>
  <cp:revision>2</cp:revision>
  <cp:lastPrinted>2019-06-06T07:16:00Z</cp:lastPrinted>
  <dcterms:created xsi:type="dcterms:W3CDTF">2020-05-26T08:49:00Z</dcterms:created>
  <dcterms:modified xsi:type="dcterms:W3CDTF">2020-05-26T08:49:00Z</dcterms:modified>
</cp:coreProperties>
</file>