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8845" w14:textId="77777777" w:rsidR="006C3256" w:rsidRPr="00814958" w:rsidRDefault="006C3256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B3997B" w14:textId="39AB77D7" w:rsidR="00853022" w:rsidRPr="00814958" w:rsidRDefault="003F2576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Schválení účetní závěrky za rok 20</w:t>
      </w:r>
      <w:r w:rsidR="00C90CB8" w:rsidRPr="00814958">
        <w:rPr>
          <w:rFonts w:ascii="Times New Roman" w:hAnsi="Times New Roman" w:cs="Times New Roman"/>
          <w:b/>
          <w:sz w:val="20"/>
          <w:szCs w:val="20"/>
        </w:rPr>
        <w:t>2</w:t>
      </w:r>
      <w:r w:rsidR="00F62865" w:rsidRPr="00814958">
        <w:rPr>
          <w:rFonts w:ascii="Times New Roman" w:hAnsi="Times New Roman" w:cs="Times New Roman"/>
          <w:b/>
          <w:sz w:val="20"/>
          <w:szCs w:val="20"/>
        </w:rPr>
        <w:t>1</w:t>
      </w:r>
      <w:r w:rsidRPr="00814958">
        <w:rPr>
          <w:rFonts w:ascii="Times New Roman" w:hAnsi="Times New Roman" w:cs="Times New Roman"/>
          <w:b/>
          <w:sz w:val="20"/>
          <w:szCs w:val="20"/>
        </w:rPr>
        <w:t xml:space="preserve"> města Slavkov u Brna</w:t>
      </w:r>
    </w:p>
    <w:p w14:paraId="36B3997D" w14:textId="74458AEB" w:rsidR="003F2576" w:rsidRPr="00814958" w:rsidRDefault="003F2576" w:rsidP="00C90CB8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Účetní závěrku k 31.12.20</w:t>
      </w:r>
      <w:r w:rsidR="001D7FBD">
        <w:rPr>
          <w:rFonts w:ascii="Times New Roman" w:hAnsi="Times New Roman" w:cs="Times New Roman"/>
          <w:b/>
          <w:sz w:val="20"/>
          <w:szCs w:val="20"/>
        </w:rPr>
        <w:t>21</w:t>
      </w:r>
      <w:r w:rsidRPr="0081495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14958">
        <w:rPr>
          <w:rFonts w:ascii="Times New Roman" w:hAnsi="Times New Roman" w:cs="Times New Roman"/>
          <w:b/>
          <w:sz w:val="20"/>
          <w:szCs w:val="20"/>
        </w:rPr>
        <w:t>tvoří</w:t>
      </w:r>
      <w:proofErr w:type="gramEnd"/>
      <w:r w:rsidRPr="00814958">
        <w:rPr>
          <w:rFonts w:ascii="Times New Roman" w:hAnsi="Times New Roman" w:cs="Times New Roman"/>
          <w:b/>
          <w:sz w:val="20"/>
          <w:szCs w:val="20"/>
        </w:rPr>
        <w:t xml:space="preserve"> následující dokumenty:</w:t>
      </w:r>
      <w:r w:rsidR="006C3256" w:rsidRPr="00814958">
        <w:rPr>
          <w:rFonts w:ascii="Times New Roman" w:hAnsi="Times New Roman" w:cs="Times New Roman"/>
          <w:b/>
          <w:sz w:val="20"/>
          <w:szCs w:val="20"/>
        </w:rPr>
        <w:tab/>
      </w:r>
    </w:p>
    <w:p w14:paraId="36B3997E" w14:textId="63012422" w:rsidR="003F2576" w:rsidRPr="00814958" w:rsidRDefault="003F2576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Rozvaha k 31.12.20</w:t>
      </w:r>
      <w:r w:rsidR="00067838">
        <w:rPr>
          <w:rFonts w:ascii="Times New Roman" w:hAnsi="Times New Roman" w:cs="Times New Roman"/>
          <w:b/>
          <w:sz w:val="20"/>
          <w:szCs w:val="20"/>
        </w:rPr>
        <w:t>21</w:t>
      </w:r>
    </w:p>
    <w:p w14:paraId="36B3997F" w14:textId="0C571C72" w:rsidR="003F2576" w:rsidRPr="00814958" w:rsidRDefault="003F2576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Výkaz zisku a ztráty za rok 20</w:t>
      </w:r>
      <w:r w:rsidR="00067838">
        <w:rPr>
          <w:rFonts w:ascii="Times New Roman" w:hAnsi="Times New Roman" w:cs="Times New Roman"/>
          <w:b/>
          <w:sz w:val="20"/>
          <w:szCs w:val="20"/>
        </w:rPr>
        <w:t>2</w:t>
      </w:r>
      <w:r w:rsidRPr="00814958">
        <w:rPr>
          <w:rFonts w:ascii="Times New Roman" w:hAnsi="Times New Roman" w:cs="Times New Roman"/>
          <w:b/>
          <w:sz w:val="20"/>
          <w:szCs w:val="20"/>
        </w:rPr>
        <w:t>1</w:t>
      </w:r>
    </w:p>
    <w:p w14:paraId="36B39980" w14:textId="47D81CEF" w:rsidR="003F2576" w:rsidRPr="00814958" w:rsidRDefault="003F2576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Příloha k účetní závěrce za rok 20</w:t>
      </w:r>
      <w:r w:rsidR="00067838">
        <w:rPr>
          <w:rFonts w:ascii="Times New Roman" w:hAnsi="Times New Roman" w:cs="Times New Roman"/>
          <w:b/>
          <w:sz w:val="20"/>
          <w:szCs w:val="20"/>
        </w:rPr>
        <w:t>2</w:t>
      </w:r>
      <w:r w:rsidRPr="00814958">
        <w:rPr>
          <w:rFonts w:ascii="Times New Roman" w:hAnsi="Times New Roman" w:cs="Times New Roman"/>
          <w:b/>
          <w:sz w:val="20"/>
          <w:szCs w:val="20"/>
        </w:rPr>
        <w:t>1</w:t>
      </w:r>
    </w:p>
    <w:p w14:paraId="36B39981" w14:textId="10FC4BD1" w:rsidR="003F2576" w:rsidRPr="00814958" w:rsidRDefault="003F2576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Výkaz změn vlastního kapitálu za rok 20</w:t>
      </w:r>
      <w:r w:rsidR="00067838">
        <w:rPr>
          <w:rFonts w:ascii="Times New Roman" w:hAnsi="Times New Roman" w:cs="Times New Roman"/>
          <w:b/>
          <w:sz w:val="20"/>
          <w:szCs w:val="20"/>
        </w:rPr>
        <w:t>2</w:t>
      </w:r>
      <w:r w:rsidRPr="00814958">
        <w:rPr>
          <w:rFonts w:ascii="Times New Roman" w:hAnsi="Times New Roman" w:cs="Times New Roman"/>
          <w:b/>
          <w:sz w:val="20"/>
          <w:szCs w:val="20"/>
        </w:rPr>
        <w:t>1</w:t>
      </w:r>
    </w:p>
    <w:p w14:paraId="36B39982" w14:textId="1389FB5B" w:rsidR="003F2576" w:rsidRPr="00814958" w:rsidRDefault="003F2576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Výkaz cash-</w:t>
      </w:r>
      <w:proofErr w:type="spellStart"/>
      <w:r w:rsidRPr="00814958">
        <w:rPr>
          <w:rFonts w:ascii="Times New Roman" w:hAnsi="Times New Roman" w:cs="Times New Roman"/>
          <w:b/>
          <w:sz w:val="20"/>
          <w:szCs w:val="20"/>
        </w:rPr>
        <w:t>flow</w:t>
      </w:r>
      <w:proofErr w:type="spellEnd"/>
      <w:r w:rsidRPr="00814958">
        <w:rPr>
          <w:rFonts w:ascii="Times New Roman" w:hAnsi="Times New Roman" w:cs="Times New Roman"/>
          <w:b/>
          <w:sz w:val="20"/>
          <w:szCs w:val="20"/>
        </w:rPr>
        <w:t xml:space="preserve"> za rok 20</w:t>
      </w:r>
      <w:r w:rsidR="00067838">
        <w:rPr>
          <w:rFonts w:ascii="Times New Roman" w:hAnsi="Times New Roman" w:cs="Times New Roman"/>
          <w:b/>
          <w:sz w:val="20"/>
          <w:szCs w:val="20"/>
        </w:rPr>
        <w:t>2</w:t>
      </w:r>
      <w:r w:rsidRPr="00814958">
        <w:rPr>
          <w:rFonts w:ascii="Times New Roman" w:hAnsi="Times New Roman" w:cs="Times New Roman"/>
          <w:b/>
          <w:sz w:val="20"/>
          <w:szCs w:val="20"/>
        </w:rPr>
        <w:t>1</w:t>
      </w:r>
    </w:p>
    <w:p w14:paraId="36B39983" w14:textId="77777777" w:rsidR="00874070" w:rsidRPr="00814958" w:rsidRDefault="00874070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Protokol z přezkumu hospodaření</w:t>
      </w:r>
    </w:p>
    <w:p w14:paraId="36B39984" w14:textId="77777777" w:rsidR="004E09AD" w:rsidRPr="00814958" w:rsidRDefault="004E09AD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B39985" w14:textId="3B187D1C" w:rsidR="00FF46D3" w:rsidRPr="00067838" w:rsidRDefault="00FF46D3" w:rsidP="00C90CB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67838">
        <w:rPr>
          <w:rFonts w:ascii="Times New Roman" w:hAnsi="Times New Roman" w:cs="Times New Roman"/>
          <w:iCs/>
          <w:sz w:val="20"/>
          <w:szCs w:val="20"/>
        </w:rPr>
        <w:t>V</w:t>
      </w:r>
      <w:r w:rsidR="004E09AD" w:rsidRPr="00067838">
        <w:rPr>
          <w:rFonts w:ascii="Times New Roman" w:hAnsi="Times New Roman" w:cs="Times New Roman"/>
          <w:iCs/>
          <w:sz w:val="20"/>
          <w:szCs w:val="20"/>
        </w:rPr>
        <w:t>ýkazy účetní závěrky za rok 20</w:t>
      </w:r>
      <w:r w:rsidR="00067838" w:rsidRPr="00067838">
        <w:rPr>
          <w:rFonts w:ascii="Times New Roman" w:hAnsi="Times New Roman" w:cs="Times New Roman"/>
          <w:iCs/>
          <w:sz w:val="20"/>
          <w:szCs w:val="20"/>
        </w:rPr>
        <w:t>21</w:t>
      </w:r>
      <w:r w:rsidR="004E09AD" w:rsidRPr="0006783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067838">
        <w:rPr>
          <w:rFonts w:ascii="Times New Roman" w:hAnsi="Times New Roman" w:cs="Times New Roman"/>
          <w:iCs/>
          <w:sz w:val="20"/>
          <w:szCs w:val="20"/>
        </w:rPr>
        <w:t>jsou součástí tohoto dokumentu jako příloha.</w:t>
      </w:r>
    </w:p>
    <w:p w14:paraId="36B39986" w14:textId="77777777" w:rsidR="00FF46D3" w:rsidRPr="00814958" w:rsidRDefault="00FF46D3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B39987" w14:textId="77777777" w:rsidR="00816AB1" w:rsidRPr="00814958" w:rsidRDefault="00816AB1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t>Inventarizační zpráva v souladu s vyhláškou č. 270/2010 Sb., seznam inventurních soupisů</w:t>
      </w:r>
    </w:p>
    <w:p w14:paraId="36B39988" w14:textId="77777777" w:rsidR="00816AB1" w:rsidRPr="00814958" w:rsidRDefault="00816AB1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958">
        <w:rPr>
          <w:rFonts w:ascii="Times New Roman" w:hAnsi="Times New Roman" w:cs="Times New Roman"/>
          <w:sz w:val="20"/>
          <w:szCs w:val="20"/>
        </w:rPr>
        <w:t>Inventarizační zpráva 2013</w:t>
      </w:r>
    </w:p>
    <w:p w14:paraId="36B39989" w14:textId="77777777" w:rsidR="00816AB1" w:rsidRPr="00814958" w:rsidRDefault="00816AB1" w:rsidP="00C90C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14958">
        <w:rPr>
          <w:rFonts w:ascii="Times New Roman" w:hAnsi="Times New Roman" w:cs="Times New Roman"/>
          <w:sz w:val="20"/>
          <w:szCs w:val="20"/>
        </w:rPr>
        <w:t>Seznam inventurních soupisů</w:t>
      </w:r>
    </w:p>
    <w:p w14:paraId="36B3998A" w14:textId="77777777" w:rsidR="00816AB1" w:rsidRPr="00814958" w:rsidRDefault="00816AB1" w:rsidP="00C90C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B3998B" w14:textId="77777777" w:rsidR="00FF46D3" w:rsidRPr="00814958" w:rsidRDefault="00B92128" w:rsidP="00C90C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14958">
        <w:rPr>
          <w:rFonts w:ascii="Times New Roman" w:hAnsi="Times New Roman" w:cs="Times New Roman"/>
          <w:i/>
          <w:sz w:val="20"/>
          <w:szCs w:val="20"/>
        </w:rPr>
        <w:t>Podklady k inventarizaci</w:t>
      </w:r>
      <w:r w:rsidR="00CE1879" w:rsidRPr="00814958">
        <w:rPr>
          <w:rFonts w:ascii="Times New Roman" w:hAnsi="Times New Roman" w:cs="Times New Roman"/>
          <w:i/>
          <w:sz w:val="20"/>
          <w:szCs w:val="20"/>
        </w:rPr>
        <w:t xml:space="preserve"> v</w:t>
      </w:r>
      <w:r w:rsidR="00FF46D3" w:rsidRPr="00814958">
        <w:rPr>
          <w:rFonts w:ascii="Times New Roman" w:hAnsi="Times New Roman" w:cs="Times New Roman"/>
          <w:i/>
          <w:sz w:val="20"/>
          <w:szCs w:val="20"/>
        </w:rPr>
        <w:t>iz příloha tohoto dokumentu</w:t>
      </w:r>
    </w:p>
    <w:p w14:paraId="36B3998C" w14:textId="77777777" w:rsidR="00FF46D3" w:rsidRPr="00814958" w:rsidRDefault="00FF46D3" w:rsidP="00C90C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6B3998E" w14:textId="59A8009C" w:rsidR="00816AB1" w:rsidRPr="00C22F2D" w:rsidRDefault="005900F6" w:rsidP="00C22F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958">
        <w:rPr>
          <w:rFonts w:ascii="Times New Roman" w:hAnsi="Times New Roman" w:cs="Times New Roman"/>
          <w:b/>
          <w:sz w:val="20"/>
          <w:szCs w:val="20"/>
        </w:rPr>
        <w:br w:type="page"/>
      </w:r>
      <w:r w:rsidR="00816AB1" w:rsidRPr="006E17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Zpráva o </w:t>
      </w:r>
      <w:r w:rsidR="00901969" w:rsidRPr="006E1799">
        <w:rPr>
          <w:rFonts w:ascii="Times New Roman" w:hAnsi="Times New Roman" w:cs="Times New Roman"/>
          <w:b/>
          <w:sz w:val="24"/>
          <w:szCs w:val="24"/>
        </w:rPr>
        <w:t>činnosti a hospodaření Základní školy Tyršova Slavkov u Brna za rok 2021</w:t>
      </w:r>
    </w:p>
    <w:p w14:paraId="6F2DFD41" w14:textId="77777777" w:rsidR="006E1799" w:rsidRDefault="006E1799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7D956B7C" w14:textId="00E1BD76" w:rsidR="003A32B4" w:rsidRDefault="003A32B4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  <w:r>
        <w:rPr>
          <w:b/>
        </w:rPr>
        <w:t>Plnění úkolů v oblasti hlavní činnosti</w:t>
      </w:r>
    </w:p>
    <w:p w14:paraId="236C8662" w14:textId="525998F4" w:rsidR="003A32B4" w:rsidRDefault="003A32B4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524DB510" w14:textId="31FB4AEA" w:rsidR="006E1799" w:rsidRDefault="006E1799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>Příspěvková organizace jako základní škola poskytuje základní vzdělávání žákům.</w:t>
      </w:r>
      <w:r w:rsidR="00970BF3">
        <w:rPr>
          <w:bCs/>
        </w:rPr>
        <w:t xml:space="preserve"> Její činnost se řídí Zákonem č. 261/2004 Sb., o předškolním, základním, středním, vyšším odborném a jiném vzdělávání, ve znění pozdějších předpisů a prováděcími předpisy ke školskému zákonu.</w:t>
      </w:r>
    </w:p>
    <w:p w14:paraId="1075B89F" w14:textId="158324E8" w:rsidR="00BA3721" w:rsidRDefault="00BA3721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632B8383" w14:textId="21CD2E09" w:rsidR="00BA3721" w:rsidRDefault="00BA3721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 xml:space="preserve">Zřizovatel povolil příspěvkové organizaci vykonávat doplňkovou (ekonomickou) činnost, která navazuje na hlavní účet PO. Podmínkou realizace </w:t>
      </w:r>
      <w:r w:rsidR="00E30560">
        <w:rPr>
          <w:bCs/>
        </w:rPr>
        <w:t>DČ je nenaruš</w:t>
      </w:r>
      <w:r w:rsidR="00BE5D5E">
        <w:rPr>
          <w:bCs/>
        </w:rPr>
        <w:t>ení</w:t>
      </w:r>
      <w:r w:rsidR="00E30560">
        <w:rPr>
          <w:bCs/>
        </w:rPr>
        <w:t xml:space="preserve"> plnění hlavního účelu zřízení PO.</w:t>
      </w:r>
      <w:r w:rsidR="00557D93">
        <w:rPr>
          <w:bCs/>
        </w:rPr>
        <w:t xml:space="preserve"> Škola může poskytovat služby, pronajímat prostory</w:t>
      </w:r>
      <w:r w:rsidR="00A01FE8">
        <w:rPr>
          <w:bCs/>
        </w:rPr>
        <w:t xml:space="preserve"> v době, kdy nejsou využity pro hlavní účel, na který byla PO zřízena</w:t>
      </w:r>
      <w:r w:rsidR="00554A1F">
        <w:rPr>
          <w:bCs/>
        </w:rPr>
        <w:t>, dále pronájem víceúčelového hřiště.</w:t>
      </w:r>
    </w:p>
    <w:p w14:paraId="576BC478" w14:textId="5C5D1F16" w:rsidR="007D44F1" w:rsidRDefault="007D44F1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3D26726E" w14:textId="77777777" w:rsidR="007D44F1" w:rsidRPr="00814958" w:rsidRDefault="007D44F1" w:rsidP="007D44F1">
      <w:pPr>
        <w:pStyle w:val="Standard"/>
        <w:tabs>
          <w:tab w:val="left" w:pos="1440"/>
          <w:tab w:val="left" w:pos="5400"/>
        </w:tabs>
        <w:jc w:val="both"/>
        <w:rPr>
          <w:b/>
        </w:rPr>
      </w:pPr>
      <w:r w:rsidRPr="00814958">
        <w:rPr>
          <w:b/>
        </w:rPr>
        <w:t>Zajištění vnitřního kontrolního systému</w:t>
      </w:r>
    </w:p>
    <w:p w14:paraId="0700AD85" w14:textId="77777777" w:rsidR="007D44F1" w:rsidRPr="00814958" w:rsidRDefault="007D44F1" w:rsidP="007D44F1">
      <w:pPr>
        <w:pStyle w:val="Standard"/>
        <w:tabs>
          <w:tab w:val="left" w:pos="1440"/>
          <w:tab w:val="left" w:pos="5400"/>
        </w:tabs>
        <w:jc w:val="both"/>
      </w:pPr>
    </w:p>
    <w:p w14:paraId="632105DD" w14:textId="7DD5381C" w:rsidR="00AB36EC" w:rsidRDefault="007D44F1" w:rsidP="00AB36EC">
      <w:pPr>
        <w:pStyle w:val="Standard"/>
        <w:tabs>
          <w:tab w:val="left" w:pos="1440"/>
          <w:tab w:val="left" w:pos="5400"/>
        </w:tabs>
        <w:jc w:val="both"/>
      </w:pPr>
      <w:r w:rsidRPr="00814958">
        <w:t>Činnost vnitřního kontrolního systému se řídí Směrnicí o finanční kontrole, která zastřešuje systém vnitřní kontroly i veřejnosprávní kontrolu zřízených městem.</w:t>
      </w:r>
      <w:r>
        <w:t xml:space="preserve"> </w:t>
      </w:r>
      <w:r w:rsidRPr="007D44F1">
        <w:rPr>
          <w:bCs/>
        </w:rPr>
        <w:t xml:space="preserve">Systém vnitřního kontrolního systému </w:t>
      </w:r>
      <w:r>
        <w:rPr>
          <w:bCs/>
        </w:rPr>
        <w:t xml:space="preserve">Základní škola Tyršova, p. o. </w:t>
      </w:r>
      <w:r w:rsidR="00A42B3A">
        <w:rPr>
          <w:bCs/>
        </w:rPr>
        <w:t xml:space="preserve"> </w:t>
      </w:r>
      <w:r w:rsidR="00E941A3">
        <w:rPr>
          <w:bCs/>
        </w:rPr>
        <w:t>je zajištěn čtvrtletním vykazováním hospodaření, které podlého kontrole a schvalovacímu procesu Města Slavkov u Brna</w:t>
      </w:r>
      <w:r w:rsidR="00EC5C7F">
        <w:rPr>
          <w:bCs/>
        </w:rPr>
        <w:t xml:space="preserve">. </w:t>
      </w:r>
      <w:r w:rsidR="00976DC8">
        <w:rPr>
          <w:bCs/>
        </w:rPr>
        <w:t xml:space="preserve">PO </w:t>
      </w:r>
      <w:proofErr w:type="gramStart"/>
      <w:r w:rsidRPr="00814958">
        <w:t>hospodař</w:t>
      </w:r>
      <w:r w:rsidR="00976DC8">
        <w:t>í</w:t>
      </w:r>
      <w:proofErr w:type="gramEnd"/>
      <w:r w:rsidRPr="00814958">
        <w:t xml:space="preserve"> podle rozpočtu a rozpočtového výhledu</w:t>
      </w:r>
      <w:r w:rsidR="00976DC8">
        <w:t xml:space="preserve"> </w:t>
      </w:r>
      <w:r w:rsidR="00AB36EC">
        <w:t>a</w:t>
      </w:r>
      <w:r w:rsidR="00976DC8">
        <w:t xml:space="preserve"> zavazuje</w:t>
      </w:r>
      <w:r w:rsidR="003E1874">
        <w:t xml:space="preserve"> se</w:t>
      </w:r>
      <w:r w:rsidR="00976DC8">
        <w:t xml:space="preserve"> k </w:t>
      </w:r>
      <w:r w:rsidRPr="00814958">
        <w:t>hospodárné</w:t>
      </w:r>
      <w:r w:rsidR="00976DC8">
        <w:t>mu</w:t>
      </w:r>
      <w:r w:rsidRPr="00814958">
        <w:t>, účelné</w:t>
      </w:r>
      <w:r w:rsidR="00976DC8">
        <w:t>mu</w:t>
      </w:r>
      <w:r w:rsidRPr="00814958">
        <w:t xml:space="preserve"> a efektivní použití finančních prostředků</w:t>
      </w:r>
      <w:r w:rsidR="00976DC8">
        <w:t xml:space="preserve"> a </w:t>
      </w:r>
      <w:r w:rsidRPr="00814958">
        <w:t>nakládání s</w:t>
      </w:r>
      <w:r w:rsidR="00976DC8">
        <w:t> </w:t>
      </w:r>
      <w:r w:rsidRPr="00814958">
        <w:t>majetkem</w:t>
      </w:r>
      <w:r w:rsidR="00976DC8">
        <w:t xml:space="preserve">. </w:t>
      </w:r>
      <w:r w:rsidR="00AB36EC">
        <w:t xml:space="preserve">Zajišťuje </w:t>
      </w:r>
      <w:r w:rsidRPr="00814958">
        <w:t>správnost účetních dokladů dle zákona 563/1991 o účetnictví ve znění pozdějších předpisů</w:t>
      </w:r>
      <w:r w:rsidR="00AB36EC">
        <w:t>.</w:t>
      </w:r>
    </w:p>
    <w:p w14:paraId="409406E1" w14:textId="77777777" w:rsidR="00AB36EC" w:rsidRDefault="00AB36EC" w:rsidP="00AB36EC">
      <w:pPr>
        <w:pStyle w:val="Standard"/>
        <w:tabs>
          <w:tab w:val="left" w:pos="1440"/>
          <w:tab w:val="left" w:pos="5400"/>
        </w:tabs>
        <w:jc w:val="both"/>
      </w:pPr>
    </w:p>
    <w:p w14:paraId="652E6AB9" w14:textId="61145B05" w:rsidR="003A32B4" w:rsidRDefault="003A32B4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5245DA01" w14:textId="1BEAEBC6" w:rsidR="0093736D" w:rsidRDefault="0093736D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  <w:r>
        <w:rPr>
          <w:b/>
        </w:rPr>
        <w:t>Personální oblast</w:t>
      </w:r>
      <w:r w:rsidR="0072495A">
        <w:rPr>
          <w:b/>
        </w:rPr>
        <w:t xml:space="preserve"> – kontrola hospodaření</w:t>
      </w:r>
    </w:p>
    <w:p w14:paraId="7E21A441" w14:textId="1F4855A5" w:rsidR="0072495A" w:rsidRDefault="0072495A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6C7416BB" w14:textId="77777777" w:rsidR="0072495A" w:rsidRDefault="0072495A" w:rsidP="0072495A">
      <w:pPr>
        <w:pStyle w:val="Standard"/>
        <w:jc w:val="both"/>
      </w:pPr>
      <w:r w:rsidRPr="00814958">
        <w:t xml:space="preserve">Pro zajištění předběžné kontroly a dále průběžné a následné kontroly dle §26 odst. 1 písm. a), </w:t>
      </w:r>
      <w:r w:rsidRPr="00814958">
        <w:tab/>
        <w:t>b), c) a §26 odst. 3 zákona č. 320/2001 Sb., o finanční kontrole ve veřejné správě a o změně některých zákonů (dále jen zákona)</w:t>
      </w:r>
      <w:r>
        <w:t xml:space="preserve"> vede ZŠ pozice </w:t>
      </w:r>
      <w:r w:rsidRPr="00814958">
        <w:t>příkazce operací</w:t>
      </w:r>
      <w:r>
        <w:t xml:space="preserve">, </w:t>
      </w:r>
      <w:r w:rsidRPr="00814958">
        <w:t xml:space="preserve">správce rozpočtu </w:t>
      </w:r>
      <w:r>
        <w:t>a</w:t>
      </w:r>
      <w:r w:rsidRPr="00814958">
        <w:t xml:space="preserve"> funkci hlavní účetní</w:t>
      </w:r>
      <w:r>
        <w:t>.</w:t>
      </w:r>
    </w:p>
    <w:p w14:paraId="3C990303" w14:textId="77777777" w:rsidR="0072495A" w:rsidRPr="00814958" w:rsidRDefault="0072495A" w:rsidP="0072495A">
      <w:pPr>
        <w:pStyle w:val="Standard"/>
        <w:jc w:val="both"/>
        <w:rPr>
          <w:color w:val="000000"/>
        </w:rPr>
      </w:pPr>
    </w:p>
    <w:p w14:paraId="6924F57D" w14:textId="4E739A1F" w:rsidR="00BC157D" w:rsidRDefault="0072495A" w:rsidP="0072495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6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Předběžná kontrola</w:t>
      </w:r>
      <w:r w:rsidRPr="00814958">
        <w:rPr>
          <w:rFonts w:ascii="Times New Roman" w:hAnsi="Times New Roman" w:cs="Times New Roman"/>
          <w:color w:val="000000"/>
          <w:sz w:val="20"/>
          <w:szCs w:val="20"/>
        </w:rPr>
        <w:t xml:space="preserve"> – tj. kontrola plánovaných a připravovaných operací se zajišťuje odpovědnými zaměstnanci</w:t>
      </w:r>
      <w:r w:rsidR="00BC157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14958">
        <w:rPr>
          <w:rFonts w:ascii="Times New Roman" w:hAnsi="Times New Roman" w:cs="Times New Roman"/>
          <w:color w:val="000000"/>
          <w:sz w:val="20"/>
          <w:szCs w:val="20"/>
        </w:rPr>
        <w:t>Musí být provedena, jednak před vznikem závazku nebo pohledávky a jednak před uskutečněním výdajů nebo příjmů.</w:t>
      </w:r>
    </w:p>
    <w:p w14:paraId="55156653" w14:textId="781B7987" w:rsidR="0072495A" w:rsidRDefault="003F3603" w:rsidP="0072495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F36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Veřejnosprávní kontrola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závěrečná </w:t>
      </w:r>
      <w:r w:rsidR="007E2FF5">
        <w:rPr>
          <w:rFonts w:ascii="Times New Roman" w:hAnsi="Times New Roman" w:cs="Times New Roman"/>
          <w:color w:val="000000"/>
          <w:sz w:val="20"/>
          <w:szCs w:val="20"/>
        </w:rPr>
        <w:t>kontrola je zajištěna ze strany zřizovatele – Města Slavkov u Brna</w:t>
      </w:r>
      <w:r w:rsidR="00A2192E">
        <w:rPr>
          <w:rFonts w:ascii="Times New Roman" w:hAnsi="Times New Roman" w:cs="Times New Roman"/>
          <w:color w:val="000000"/>
          <w:sz w:val="20"/>
          <w:szCs w:val="20"/>
        </w:rPr>
        <w:t>. Koná se vždy po dvou letech a je prováděna extern</w:t>
      </w:r>
      <w:r w:rsidR="00EC15FE">
        <w:rPr>
          <w:rFonts w:ascii="Times New Roman" w:hAnsi="Times New Roman" w:cs="Times New Roman"/>
          <w:color w:val="000000"/>
          <w:sz w:val="20"/>
          <w:szCs w:val="20"/>
        </w:rPr>
        <w:t>í auditorskou firmou</w:t>
      </w:r>
      <w:r w:rsidR="00A2192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BC157D">
        <w:rPr>
          <w:rFonts w:ascii="Times New Roman" w:hAnsi="Times New Roman" w:cs="Times New Roman"/>
          <w:color w:val="000000"/>
          <w:sz w:val="20"/>
          <w:szCs w:val="20"/>
        </w:rPr>
        <w:t xml:space="preserve"> Základní škol</w:t>
      </w:r>
      <w:r w:rsidR="00D45F88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BC157D">
        <w:rPr>
          <w:rFonts w:ascii="Times New Roman" w:hAnsi="Times New Roman" w:cs="Times New Roman"/>
          <w:color w:val="000000"/>
          <w:sz w:val="20"/>
          <w:szCs w:val="20"/>
        </w:rPr>
        <w:t xml:space="preserve"> Tyršova</w:t>
      </w:r>
      <w:r w:rsidR="00D45F88">
        <w:rPr>
          <w:rFonts w:ascii="Times New Roman" w:hAnsi="Times New Roman" w:cs="Times New Roman"/>
          <w:color w:val="000000"/>
          <w:sz w:val="20"/>
          <w:szCs w:val="20"/>
        </w:rPr>
        <w:t xml:space="preserve"> byla</w:t>
      </w:r>
      <w:r w:rsidR="00BC157D">
        <w:rPr>
          <w:rFonts w:ascii="Times New Roman" w:hAnsi="Times New Roman" w:cs="Times New Roman"/>
          <w:color w:val="000000"/>
          <w:sz w:val="20"/>
          <w:szCs w:val="20"/>
        </w:rPr>
        <w:t xml:space="preserve"> ukončila </w:t>
      </w:r>
      <w:r w:rsidR="00D45F88">
        <w:rPr>
          <w:rFonts w:ascii="Times New Roman" w:hAnsi="Times New Roman" w:cs="Times New Roman"/>
          <w:color w:val="000000"/>
          <w:sz w:val="20"/>
          <w:szCs w:val="20"/>
        </w:rPr>
        <w:t xml:space="preserve">k 3. 3. 2022 veřejnosprávní kontrola na </w:t>
      </w:r>
      <w:r w:rsidR="00A73B23">
        <w:rPr>
          <w:rFonts w:ascii="Times New Roman" w:hAnsi="Times New Roman" w:cs="Times New Roman"/>
          <w:color w:val="000000"/>
          <w:sz w:val="20"/>
          <w:szCs w:val="20"/>
        </w:rPr>
        <w:t xml:space="preserve">kontrolované období roku 2021. Nebyly </w:t>
      </w:r>
      <w:r w:rsidR="002417C0">
        <w:rPr>
          <w:rFonts w:ascii="Times New Roman" w:hAnsi="Times New Roman" w:cs="Times New Roman"/>
          <w:color w:val="000000"/>
          <w:sz w:val="20"/>
          <w:szCs w:val="20"/>
        </w:rPr>
        <w:t>zjištěny</w:t>
      </w:r>
      <w:r w:rsidR="00A73B23">
        <w:rPr>
          <w:rFonts w:ascii="Times New Roman" w:hAnsi="Times New Roman" w:cs="Times New Roman"/>
          <w:color w:val="000000"/>
          <w:sz w:val="20"/>
          <w:szCs w:val="20"/>
        </w:rPr>
        <w:t xml:space="preserve"> žádné nedostatky</w:t>
      </w:r>
      <w:r w:rsidR="00A14831">
        <w:rPr>
          <w:rFonts w:ascii="Times New Roman" w:hAnsi="Times New Roman" w:cs="Times New Roman"/>
          <w:color w:val="000000"/>
          <w:sz w:val="20"/>
          <w:szCs w:val="20"/>
        </w:rPr>
        <w:t>, tzn., že PO</w:t>
      </w:r>
      <w:r w:rsidR="002417C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4831" w:rsidRPr="00814958">
        <w:rPr>
          <w:rFonts w:ascii="Times New Roman" w:hAnsi="Times New Roman" w:cs="Times New Roman"/>
          <w:b/>
          <w:sz w:val="20"/>
          <w:szCs w:val="20"/>
        </w:rPr>
        <w:t>nevyplývají</w:t>
      </w:r>
      <w:r w:rsidR="00A14831" w:rsidRPr="00814958">
        <w:rPr>
          <w:rFonts w:ascii="Times New Roman" w:hAnsi="Times New Roman" w:cs="Times New Roman"/>
          <w:sz w:val="20"/>
          <w:szCs w:val="20"/>
        </w:rPr>
        <w:t xml:space="preserve"> žádné další povinnosti, nápravná opatření, ani vysvětlen</w:t>
      </w:r>
      <w:r w:rsidR="005352DB">
        <w:rPr>
          <w:rFonts w:ascii="Times New Roman" w:hAnsi="Times New Roman" w:cs="Times New Roman"/>
          <w:sz w:val="20"/>
          <w:szCs w:val="20"/>
        </w:rPr>
        <w:t>í</w:t>
      </w:r>
      <w:r w:rsidR="00A14831">
        <w:rPr>
          <w:rFonts w:ascii="Times New Roman" w:hAnsi="Times New Roman" w:cs="Times New Roman"/>
          <w:sz w:val="20"/>
          <w:szCs w:val="20"/>
        </w:rPr>
        <w:t>.</w:t>
      </w:r>
    </w:p>
    <w:p w14:paraId="70457074" w14:textId="77777777" w:rsidR="0072495A" w:rsidRPr="00814958" w:rsidRDefault="0072495A" w:rsidP="0072495A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4C6627E" w14:textId="77777777" w:rsidR="0054772F" w:rsidRDefault="0054772F">
      <w:pPr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cs-CZ"/>
        </w:rPr>
      </w:pPr>
      <w:r>
        <w:rPr>
          <w:b/>
        </w:rPr>
        <w:br w:type="page"/>
      </w:r>
    </w:p>
    <w:p w14:paraId="786355B6" w14:textId="73784490" w:rsidR="0072495A" w:rsidRDefault="0072495A" w:rsidP="0072495A">
      <w:pPr>
        <w:pStyle w:val="Standard"/>
        <w:tabs>
          <w:tab w:val="left" w:pos="1440"/>
          <w:tab w:val="left" w:pos="5400"/>
        </w:tabs>
        <w:jc w:val="both"/>
        <w:rPr>
          <w:b/>
        </w:rPr>
      </w:pPr>
      <w:r>
        <w:rPr>
          <w:b/>
        </w:rPr>
        <w:lastRenderedPageBreak/>
        <w:t>Personální oblast – struktura</w:t>
      </w:r>
      <w:r w:rsidR="003F3603">
        <w:rPr>
          <w:b/>
        </w:rPr>
        <w:t xml:space="preserve"> zaměstnanců</w:t>
      </w:r>
    </w:p>
    <w:p w14:paraId="67EB31CF" w14:textId="44E2C8D0" w:rsidR="000B60B0" w:rsidRDefault="000B60B0" w:rsidP="0072495A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350A6FE9" w14:textId="18E6104A" w:rsidR="0072495A" w:rsidRDefault="000B60B0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>JMK, odbor školství, stanoví závazné ukazatele počtu zaměstnanců jednotlivých PO a finančních prostředků</w:t>
      </w:r>
      <w:r w:rsidR="0064581E">
        <w:rPr>
          <w:bCs/>
        </w:rPr>
        <w:t xml:space="preserve"> – transfery přímých výdajů na vzdělávání. Bezpečnost práce je dodržována a dle směrnice jsou </w:t>
      </w:r>
      <w:proofErr w:type="spellStart"/>
      <w:r w:rsidR="0064581E">
        <w:rPr>
          <w:bCs/>
        </w:rPr>
        <w:t>podkytovány</w:t>
      </w:r>
      <w:proofErr w:type="spellEnd"/>
      <w:r w:rsidR="0064581E">
        <w:rPr>
          <w:bCs/>
        </w:rPr>
        <w:t xml:space="preserve"> ochranné pracovní pomůcky. Za sledované období nevznikl pracovní úraz.</w:t>
      </w:r>
    </w:p>
    <w:p w14:paraId="4D0BB2DC" w14:textId="77777777" w:rsidR="00A479D6" w:rsidRDefault="00A479D6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61AD2382" w14:textId="17D5FAA0" w:rsidR="0093736D" w:rsidRDefault="0093736D" w:rsidP="003A32B4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2"/>
        <w:gridCol w:w="1593"/>
        <w:gridCol w:w="2074"/>
        <w:gridCol w:w="1558"/>
        <w:gridCol w:w="1360"/>
        <w:gridCol w:w="1661"/>
      </w:tblGrid>
      <w:tr w:rsidR="00BD51A8" w:rsidRPr="00D96BAB" w14:paraId="49760C61" w14:textId="77777777" w:rsidTr="00636C9E">
        <w:trPr>
          <w:trHeight w:val="562"/>
        </w:trPr>
        <w:tc>
          <w:tcPr>
            <w:tcW w:w="895" w:type="dxa"/>
            <w:vAlign w:val="center"/>
          </w:tcPr>
          <w:p w14:paraId="1FF18608" w14:textId="77777777" w:rsidR="00BD51A8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Počet</w:t>
            </w:r>
          </w:p>
          <w:p w14:paraId="0FAFB49B" w14:textId="77777777" w:rsidR="00BD51A8" w:rsidRPr="00D96BAB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zaměstn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  <w:gridSpan w:val="2"/>
            <w:vAlign w:val="center"/>
          </w:tcPr>
          <w:p w14:paraId="62B04DA9" w14:textId="77777777" w:rsidR="00BD51A8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Struktura</w:t>
            </w:r>
            <w:r>
              <w:rPr>
                <w:rFonts w:ascii="Times New Roman" w:hAnsi="Times New Roman" w:cs="Times New Roman"/>
                <w:b/>
              </w:rPr>
              <w:t xml:space="preserve"> – platová třída</w:t>
            </w:r>
          </w:p>
          <w:p w14:paraId="20A044CE" w14:textId="77777777" w:rsidR="00BD51A8" w:rsidRPr="00D96BAB" w:rsidRDefault="00BD51A8" w:rsidP="00636C9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nepedag.prac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pedag.prac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974" w:type="dxa"/>
            <w:gridSpan w:val="2"/>
            <w:vAlign w:val="center"/>
          </w:tcPr>
          <w:p w14:paraId="3F7C68B4" w14:textId="1A195ABB" w:rsidR="00BD51A8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Zaměstnanec v roce 20</w:t>
            </w:r>
            <w:r w:rsidR="00904EA6">
              <w:rPr>
                <w:rFonts w:ascii="Times New Roman" w:hAnsi="Times New Roman" w:cs="Times New Roman"/>
                <w:b/>
              </w:rPr>
              <w:t>2</w:t>
            </w:r>
            <w:r w:rsidRPr="00D96BAB">
              <w:rPr>
                <w:rFonts w:ascii="Times New Roman" w:hAnsi="Times New Roman" w:cs="Times New Roman"/>
                <w:b/>
              </w:rPr>
              <w:t>1</w:t>
            </w:r>
          </w:p>
          <w:p w14:paraId="22C9A160" w14:textId="77777777" w:rsidR="00BD51A8" w:rsidRPr="00D96BAB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</w:t>
            </w:r>
            <w:r w:rsidRPr="00D96BAB">
              <w:rPr>
                <w:rFonts w:ascii="Times New Roman" w:hAnsi="Times New Roman" w:cs="Times New Roman"/>
                <w:b/>
              </w:rPr>
              <w:t>bytek</w:t>
            </w:r>
            <w:r>
              <w:rPr>
                <w:rFonts w:ascii="Times New Roman" w:hAnsi="Times New Roman" w:cs="Times New Roman"/>
                <w:b/>
              </w:rPr>
              <w:t xml:space="preserve">            přírůstek</w:t>
            </w:r>
          </w:p>
        </w:tc>
        <w:tc>
          <w:tcPr>
            <w:tcW w:w="1670" w:type="dxa"/>
            <w:vAlign w:val="center"/>
          </w:tcPr>
          <w:p w14:paraId="484CE83B" w14:textId="4AA42EB2" w:rsidR="00BD51A8" w:rsidRPr="00D96BAB" w:rsidRDefault="00FE51D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zaměstnanců</w:t>
            </w:r>
          </w:p>
        </w:tc>
      </w:tr>
      <w:tr w:rsidR="00BD51A8" w:rsidRPr="0072495A" w14:paraId="42B44D52" w14:textId="77777777" w:rsidTr="00636C9E">
        <w:tc>
          <w:tcPr>
            <w:tcW w:w="895" w:type="dxa"/>
          </w:tcPr>
          <w:p w14:paraId="50C5C31F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623" w:type="dxa"/>
          </w:tcPr>
          <w:p w14:paraId="4DDB6CF4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75EFADAB" w14:textId="68DB9726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</w:tcPr>
          <w:p w14:paraId="06E681F2" w14:textId="7276803D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5413C81A" w14:textId="4722A6D6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15F06736" w14:textId="33DE104F" w:rsidR="00BD51A8" w:rsidRPr="0072495A" w:rsidRDefault="00FC70FF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4</w:t>
            </w:r>
          </w:p>
        </w:tc>
      </w:tr>
      <w:tr w:rsidR="00BD51A8" w:rsidRPr="0072495A" w14:paraId="38656B9D" w14:textId="77777777" w:rsidTr="00636C9E">
        <w:tc>
          <w:tcPr>
            <w:tcW w:w="895" w:type="dxa"/>
          </w:tcPr>
          <w:p w14:paraId="1A07204D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14:paraId="1E6EF7D3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14:paraId="222628EE" w14:textId="3E66C1A6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</w:tcPr>
          <w:p w14:paraId="2CFCECAF" w14:textId="6CD6E948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7E10AE37" w14:textId="17673131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60F88078" w14:textId="69247E23" w:rsidR="00BD51A8" w:rsidRPr="0072495A" w:rsidRDefault="00FC70FF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</w:tr>
      <w:tr w:rsidR="0093348B" w:rsidRPr="0072495A" w14:paraId="0CBA0DD8" w14:textId="77777777" w:rsidTr="00636C9E">
        <w:tc>
          <w:tcPr>
            <w:tcW w:w="895" w:type="dxa"/>
          </w:tcPr>
          <w:p w14:paraId="1B85941A" w14:textId="1880C578" w:rsidR="0093348B" w:rsidRPr="0072495A" w:rsidRDefault="0093348B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623" w:type="dxa"/>
          </w:tcPr>
          <w:p w14:paraId="6E8F7831" w14:textId="4C6767F6" w:rsidR="0093348B" w:rsidRPr="0072495A" w:rsidRDefault="0093348B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14:paraId="1102EC56" w14:textId="00A47CA1" w:rsidR="0093348B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</w:tcPr>
          <w:p w14:paraId="38314E86" w14:textId="0BC0701D" w:rsidR="0093348B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569E35C2" w14:textId="1004D452" w:rsidR="0093348B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0E812D78" w14:textId="2419D2F8" w:rsidR="0093348B" w:rsidRPr="0072495A" w:rsidRDefault="00FC70FF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</w:tr>
      <w:tr w:rsidR="00BD51A8" w:rsidRPr="0072495A" w14:paraId="083D61D4" w14:textId="77777777" w:rsidTr="00636C9E">
        <w:tc>
          <w:tcPr>
            <w:tcW w:w="895" w:type="dxa"/>
          </w:tcPr>
          <w:p w14:paraId="25DE2EB8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14:paraId="57B303A9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14:paraId="09A05ACA" w14:textId="62CF8153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5" w:type="dxa"/>
          </w:tcPr>
          <w:p w14:paraId="67C7BC8A" w14:textId="7099ACDF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7498ED12" w14:textId="5289EAE2" w:rsidR="00BD51A8" w:rsidRPr="0072495A" w:rsidRDefault="000552B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29CBBDCE" w14:textId="5F84DB24" w:rsidR="00BD51A8" w:rsidRPr="0072495A" w:rsidRDefault="00FC70FF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</w:tr>
      <w:tr w:rsidR="008113F4" w:rsidRPr="0072495A" w14:paraId="3C8632D4" w14:textId="77777777" w:rsidTr="00636C9E">
        <w:tc>
          <w:tcPr>
            <w:tcW w:w="895" w:type="dxa"/>
          </w:tcPr>
          <w:p w14:paraId="34FAEEF4" w14:textId="0AC9AD0A" w:rsidR="008113F4" w:rsidRPr="0072495A" w:rsidRDefault="0008417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623" w:type="dxa"/>
          </w:tcPr>
          <w:p w14:paraId="19ADCD4D" w14:textId="0358BCB8" w:rsidR="008113F4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3BA9C177" w14:textId="65BC44C5" w:rsidR="008113F4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85" w:type="dxa"/>
          </w:tcPr>
          <w:p w14:paraId="7A6FB86F" w14:textId="7D1DDA89" w:rsidR="008113F4" w:rsidRPr="0072495A" w:rsidRDefault="0090012E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2B038219" w14:textId="7D55B241" w:rsidR="008113F4" w:rsidRPr="0072495A" w:rsidRDefault="0090012E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0" w:type="dxa"/>
          </w:tcPr>
          <w:p w14:paraId="40A2B1A7" w14:textId="3909B39D" w:rsidR="008113F4" w:rsidRPr="0072495A" w:rsidRDefault="0090012E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3</w:t>
            </w:r>
          </w:p>
        </w:tc>
      </w:tr>
      <w:tr w:rsidR="00BD51A8" w:rsidRPr="0072495A" w14:paraId="19BCED85" w14:textId="77777777" w:rsidTr="00636C9E">
        <w:tc>
          <w:tcPr>
            <w:tcW w:w="895" w:type="dxa"/>
          </w:tcPr>
          <w:p w14:paraId="35DEBB43" w14:textId="2ED9E12F" w:rsidR="00BD51A8" w:rsidRPr="0072495A" w:rsidRDefault="00541A9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623" w:type="dxa"/>
          </w:tcPr>
          <w:p w14:paraId="3CC2CA7D" w14:textId="5CA9ED89" w:rsidR="00BD51A8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17DEEC63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85" w:type="dxa"/>
          </w:tcPr>
          <w:p w14:paraId="5E1F56AC" w14:textId="77A0A3A2" w:rsidR="00BD51A8" w:rsidRPr="0072495A" w:rsidRDefault="00541A9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14:paraId="734CF3FA" w14:textId="499D77CC" w:rsidR="00BD51A8" w:rsidRPr="0072495A" w:rsidRDefault="0090012E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14:paraId="6A38A272" w14:textId="5972F030" w:rsidR="00BD51A8" w:rsidRPr="0072495A" w:rsidRDefault="0090012E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4</w:t>
            </w:r>
          </w:p>
        </w:tc>
      </w:tr>
      <w:tr w:rsidR="00BD51A8" w:rsidRPr="0072495A" w14:paraId="324B906E" w14:textId="77777777" w:rsidTr="00636C9E">
        <w:tc>
          <w:tcPr>
            <w:tcW w:w="895" w:type="dxa"/>
          </w:tcPr>
          <w:p w14:paraId="7FF0D5B0" w14:textId="77777777" w:rsidR="00BD51A8" w:rsidRPr="0072495A" w:rsidRDefault="00BD51A8" w:rsidP="00636C9E">
            <w:pPr>
              <w:tabs>
                <w:tab w:val="left" w:pos="255"/>
                <w:tab w:val="center" w:pos="339"/>
              </w:tabs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623" w:type="dxa"/>
          </w:tcPr>
          <w:p w14:paraId="5542C0FD" w14:textId="73BAFC95" w:rsidR="00BD51A8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CF29415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85" w:type="dxa"/>
          </w:tcPr>
          <w:p w14:paraId="0127D23C" w14:textId="6C816C3B" w:rsidR="00BD51A8" w:rsidRPr="0072495A" w:rsidRDefault="00DA0AE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6FB8EAC9" w14:textId="3C21FD9C" w:rsidR="00BD51A8" w:rsidRPr="0072495A" w:rsidRDefault="00DA0AE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24141A8E" w14:textId="53141639" w:rsidR="00BD51A8" w:rsidRPr="0072495A" w:rsidRDefault="00A16A2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</w:tr>
      <w:tr w:rsidR="00BD51A8" w:rsidRPr="0072495A" w14:paraId="7C22BFCD" w14:textId="77777777" w:rsidTr="00636C9E">
        <w:tc>
          <w:tcPr>
            <w:tcW w:w="895" w:type="dxa"/>
          </w:tcPr>
          <w:p w14:paraId="17F09372" w14:textId="55B3523F" w:rsidR="00BD51A8" w:rsidRPr="0072495A" w:rsidRDefault="00D24932" w:rsidP="00636C9E">
            <w:pPr>
              <w:tabs>
                <w:tab w:val="left" w:pos="255"/>
                <w:tab w:val="center" w:pos="339"/>
              </w:tabs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25,82</w:t>
            </w:r>
          </w:p>
        </w:tc>
        <w:tc>
          <w:tcPr>
            <w:tcW w:w="1623" w:type="dxa"/>
          </w:tcPr>
          <w:p w14:paraId="03553AD5" w14:textId="20A80CA2" w:rsidR="00BD51A8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77BEBC9E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85" w:type="dxa"/>
          </w:tcPr>
          <w:p w14:paraId="6B56DEED" w14:textId="1D5D74BF" w:rsidR="00BD51A8" w:rsidRPr="0072495A" w:rsidRDefault="008E454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7EB31FA8" w14:textId="369A0B5B" w:rsidR="00BD51A8" w:rsidRPr="0072495A" w:rsidRDefault="008E4547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14:paraId="38D27016" w14:textId="5E8144F3" w:rsidR="00BD51A8" w:rsidRPr="0072495A" w:rsidRDefault="00C927D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27</w:t>
            </w:r>
          </w:p>
        </w:tc>
      </w:tr>
      <w:tr w:rsidR="00BD51A8" w:rsidRPr="0072495A" w14:paraId="0A912540" w14:textId="77777777" w:rsidTr="00636C9E">
        <w:tc>
          <w:tcPr>
            <w:tcW w:w="895" w:type="dxa"/>
          </w:tcPr>
          <w:p w14:paraId="5C250412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23" w:type="dxa"/>
          </w:tcPr>
          <w:p w14:paraId="131A1643" w14:textId="1DF8C01D" w:rsidR="00BD51A8" w:rsidRPr="0072495A" w:rsidRDefault="008113F4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6AD4B525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85" w:type="dxa"/>
          </w:tcPr>
          <w:p w14:paraId="7D363E1B" w14:textId="1A91E95E" w:rsidR="00BD51A8" w:rsidRPr="0072495A" w:rsidRDefault="0018735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9" w:type="dxa"/>
          </w:tcPr>
          <w:p w14:paraId="24F980C8" w14:textId="5C92478B" w:rsidR="00BD51A8" w:rsidRPr="0072495A" w:rsidRDefault="00187358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0" w:type="dxa"/>
          </w:tcPr>
          <w:p w14:paraId="12CE2C96" w14:textId="7AAD1FB0" w:rsidR="00BD51A8" w:rsidRPr="0072495A" w:rsidRDefault="002877A0" w:rsidP="00636C9E">
            <w:pPr>
              <w:jc w:val="center"/>
              <w:rPr>
                <w:rFonts w:ascii="Times New Roman" w:hAnsi="Times New Roman" w:cs="Times New Roman"/>
              </w:rPr>
            </w:pPr>
            <w:r w:rsidRPr="0072495A">
              <w:rPr>
                <w:rFonts w:ascii="Times New Roman" w:hAnsi="Times New Roman" w:cs="Times New Roman"/>
              </w:rPr>
              <w:t>2</w:t>
            </w:r>
          </w:p>
        </w:tc>
      </w:tr>
      <w:tr w:rsidR="00BD51A8" w:rsidRPr="002921AC" w14:paraId="4C325E56" w14:textId="77777777" w:rsidTr="007B5432">
        <w:trPr>
          <w:trHeight w:val="70"/>
        </w:trPr>
        <w:tc>
          <w:tcPr>
            <w:tcW w:w="895" w:type="dxa"/>
          </w:tcPr>
          <w:p w14:paraId="7D4EC8E9" w14:textId="0BE4CB54" w:rsidR="00BD51A8" w:rsidRPr="0072495A" w:rsidRDefault="00D24932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95A">
              <w:rPr>
                <w:rFonts w:ascii="Times New Roman" w:hAnsi="Times New Roman" w:cs="Times New Roman"/>
                <w:b/>
              </w:rPr>
              <w:t>36,357</w:t>
            </w:r>
          </w:p>
        </w:tc>
        <w:tc>
          <w:tcPr>
            <w:tcW w:w="1623" w:type="dxa"/>
          </w:tcPr>
          <w:p w14:paraId="527E897B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6D10D1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14:paraId="022B19AA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14:paraId="4A844C46" w14:textId="77777777" w:rsidR="00BD51A8" w:rsidRPr="0072495A" w:rsidRDefault="00BD51A8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</w:tcPr>
          <w:p w14:paraId="506EF824" w14:textId="213F2F9F" w:rsidR="00BD51A8" w:rsidRPr="002921AC" w:rsidRDefault="0091365B" w:rsidP="00636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495A">
              <w:rPr>
                <w:rFonts w:ascii="Times New Roman" w:hAnsi="Times New Roman" w:cs="Times New Roman"/>
                <w:b/>
              </w:rPr>
              <w:t>44</w:t>
            </w:r>
          </w:p>
        </w:tc>
      </w:tr>
    </w:tbl>
    <w:p w14:paraId="193A002D" w14:textId="77777777" w:rsidR="00A479D6" w:rsidRDefault="00A479D6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77219F94" w14:textId="77777777" w:rsidR="00A479D6" w:rsidRDefault="00A479D6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0E261C40" w14:textId="6125830E" w:rsidR="002941F8" w:rsidRDefault="003D56CD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>Základním předpisem pro systém odměňování pracovníků</w:t>
      </w:r>
      <w:r w:rsidR="00727E6A">
        <w:rPr>
          <w:bCs/>
        </w:rPr>
        <w:t xml:space="preserve"> ve školství je Zákon č. 262/2006 Sb., Zákoník práce, dále Nařízení vlády č. 564/2006 Sb., o platových poměrech zaměstnanců ve veřejných službách a sprá</w:t>
      </w:r>
      <w:r w:rsidR="00B50BD2">
        <w:rPr>
          <w:bCs/>
        </w:rPr>
        <w:t>vě a Zákon č. 563/2004 Sb., o pedagogických pracovnících a o změně některých zákonů. Z této (a další související) legislativy vyplývá zařazení a způsob odměňování jednotlivých zaměstnanců.</w:t>
      </w:r>
    </w:p>
    <w:p w14:paraId="558D6BAB" w14:textId="2D686301" w:rsidR="00A941C4" w:rsidRDefault="00A941C4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18AAD5B6" w14:textId="46CA0B86" w:rsidR="00A941C4" w:rsidRDefault="00A941C4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>Finanční prostředky na úhradu mzdových prostředků jsou získávány</w:t>
      </w:r>
      <w:r w:rsidR="00841863">
        <w:rPr>
          <w:bCs/>
        </w:rPr>
        <w:t xml:space="preserve"> z velké části</w:t>
      </w:r>
      <w:r>
        <w:rPr>
          <w:bCs/>
        </w:rPr>
        <w:t xml:space="preserve"> z dotace, kterou poskytuje Jihomoravský kraj na pokrytí </w:t>
      </w:r>
      <w:r w:rsidR="00841863">
        <w:rPr>
          <w:bCs/>
        </w:rPr>
        <w:t xml:space="preserve">nákladů na mzdy. Vyúčtování </w:t>
      </w:r>
      <w:r w:rsidR="00457A44">
        <w:rPr>
          <w:bCs/>
        </w:rPr>
        <w:t xml:space="preserve">celé dotace </w:t>
      </w:r>
      <w:r w:rsidR="00841863">
        <w:rPr>
          <w:bCs/>
        </w:rPr>
        <w:t xml:space="preserve">probíhá formou </w:t>
      </w:r>
      <w:r w:rsidR="00457A44">
        <w:rPr>
          <w:bCs/>
        </w:rPr>
        <w:t xml:space="preserve">finančního vypořádání dotací poskytnutých krajem, dále </w:t>
      </w:r>
      <w:r w:rsidR="00BC222A">
        <w:rPr>
          <w:bCs/>
        </w:rPr>
        <w:t xml:space="preserve">odevzdáním výkazů finanční rozvahy zaměstnanců hrazených z přímých výdajů na vzdělání a také čtvrtletním poskytováním </w:t>
      </w:r>
      <w:r w:rsidR="005F1D0C">
        <w:rPr>
          <w:bCs/>
        </w:rPr>
        <w:t xml:space="preserve">čtvrtletního </w:t>
      </w:r>
      <w:r w:rsidR="00BC222A">
        <w:rPr>
          <w:bCs/>
        </w:rPr>
        <w:t>výkazu</w:t>
      </w:r>
      <w:r w:rsidR="005F1D0C">
        <w:rPr>
          <w:bCs/>
        </w:rPr>
        <w:t xml:space="preserve"> o zaměstnancích a mzdových prostředcích v regionálním školství. Částečně jsou mzdy hrazené z</w:t>
      </w:r>
      <w:r w:rsidR="00FC3BF7">
        <w:rPr>
          <w:bCs/>
        </w:rPr>
        <w:t> dotací z Evropských strukturálních a investičních fondů</w:t>
      </w:r>
      <w:r w:rsidR="00DE2FCA">
        <w:rPr>
          <w:bCs/>
        </w:rPr>
        <w:t>.</w:t>
      </w:r>
    </w:p>
    <w:p w14:paraId="6401F745" w14:textId="3A7801B6" w:rsidR="00FC3BF7" w:rsidRDefault="00FC3BF7" w:rsidP="003A32B4">
      <w:pPr>
        <w:pStyle w:val="Standard"/>
        <w:tabs>
          <w:tab w:val="left" w:pos="1440"/>
          <w:tab w:val="left" w:pos="5400"/>
        </w:tabs>
        <w:jc w:val="both"/>
        <w:rPr>
          <w:bCs/>
        </w:rPr>
      </w:pPr>
    </w:p>
    <w:p w14:paraId="36B399C6" w14:textId="77777777" w:rsidR="005900F6" w:rsidRPr="00814958" w:rsidRDefault="005900F6" w:rsidP="00C90CB8">
      <w:pPr>
        <w:pStyle w:val="Standard"/>
        <w:tabs>
          <w:tab w:val="left" w:pos="1440"/>
          <w:tab w:val="left" w:pos="5400"/>
        </w:tabs>
        <w:jc w:val="both"/>
      </w:pPr>
    </w:p>
    <w:p w14:paraId="13631F50" w14:textId="24F83242" w:rsidR="0015372D" w:rsidRDefault="0015372D" w:rsidP="00C90CB8">
      <w:pPr>
        <w:pStyle w:val="Standard"/>
        <w:tabs>
          <w:tab w:val="left" w:pos="1440"/>
          <w:tab w:val="left" w:pos="5400"/>
        </w:tabs>
        <w:jc w:val="both"/>
        <w:rPr>
          <w:b/>
          <w:bCs/>
        </w:rPr>
      </w:pPr>
      <w:r w:rsidRPr="00586E0A">
        <w:rPr>
          <w:b/>
          <w:bCs/>
        </w:rPr>
        <w:t xml:space="preserve">Hospodaření </w:t>
      </w:r>
      <w:r w:rsidR="00EE51B2">
        <w:rPr>
          <w:b/>
          <w:bCs/>
        </w:rPr>
        <w:t>za rok 2021</w:t>
      </w:r>
    </w:p>
    <w:p w14:paraId="62ED8BFC" w14:textId="4E203004" w:rsidR="000222FF" w:rsidRDefault="000222FF" w:rsidP="00C90CB8">
      <w:pPr>
        <w:pStyle w:val="Standard"/>
        <w:tabs>
          <w:tab w:val="left" w:pos="1440"/>
          <w:tab w:val="left" w:pos="5400"/>
        </w:tabs>
        <w:jc w:val="both"/>
        <w:rPr>
          <w:b/>
          <w:bCs/>
        </w:rPr>
      </w:pPr>
    </w:p>
    <w:p w14:paraId="24322658" w14:textId="0BB92BC0" w:rsidR="0015372D" w:rsidRDefault="0015372D" w:rsidP="00C90CB8">
      <w:pPr>
        <w:pStyle w:val="Standard"/>
        <w:tabs>
          <w:tab w:val="left" w:pos="1440"/>
          <w:tab w:val="left" w:pos="5400"/>
        </w:tabs>
        <w:jc w:val="both"/>
      </w:pPr>
    </w:p>
    <w:p w14:paraId="36B399C8" w14:textId="26D961C5" w:rsidR="00FF46D3" w:rsidRDefault="00874A52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74A52">
        <w:rPr>
          <w:rFonts w:ascii="Times New Roman" w:hAnsi="Times New Roman" w:cs="Times New Roman"/>
          <w:bCs/>
          <w:sz w:val="20"/>
          <w:szCs w:val="20"/>
        </w:rPr>
        <w:t xml:space="preserve">Základní škola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hospodaří</w:t>
      </w:r>
      <w:proofErr w:type="gramEnd"/>
      <w:r w:rsidR="00B105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34D4">
        <w:rPr>
          <w:rFonts w:ascii="Times New Roman" w:hAnsi="Times New Roman" w:cs="Times New Roman"/>
          <w:bCs/>
          <w:sz w:val="20"/>
          <w:szCs w:val="20"/>
        </w:rPr>
        <w:t>s příspěvky, které jsou škole poskytovány z různých rozpočtů – JMK, zřizovatel</w:t>
      </w:r>
      <w:r w:rsidR="00E12DAF">
        <w:rPr>
          <w:rFonts w:ascii="Times New Roman" w:hAnsi="Times New Roman" w:cs="Times New Roman"/>
          <w:bCs/>
          <w:sz w:val="20"/>
          <w:szCs w:val="20"/>
        </w:rPr>
        <w:t>. Velkou část příjmové stránky rozpočtu, zejména pří</w:t>
      </w:r>
      <w:r w:rsidR="00B90BD7">
        <w:rPr>
          <w:rFonts w:ascii="Times New Roman" w:hAnsi="Times New Roman" w:cs="Times New Roman"/>
          <w:bCs/>
          <w:sz w:val="20"/>
          <w:szCs w:val="20"/>
        </w:rPr>
        <w:t xml:space="preserve">spěvky na </w:t>
      </w:r>
      <w:r w:rsidR="00E12DAF">
        <w:rPr>
          <w:rFonts w:ascii="Times New Roman" w:hAnsi="Times New Roman" w:cs="Times New Roman"/>
          <w:bCs/>
          <w:sz w:val="20"/>
          <w:szCs w:val="20"/>
        </w:rPr>
        <w:t>mzdové prostředky</w:t>
      </w:r>
      <w:r w:rsidR="00B90BD7">
        <w:rPr>
          <w:rFonts w:ascii="Times New Roman" w:hAnsi="Times New Roman" w:cs="Times New Roman"/>
          <w:bCs/>
          <w:sz w:val="20"/>
          <w:szCs w:val="20"/>
        </w:rPr>
        <w:t xml:space="preserve"> a</w:t>
      </w:r>
      <w:r w:rsidR="00E12D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90BD7">
        <w:rPr>
          <w:rFonts w:ascii="Times New Roman" w:hAnsi="Times New Roman" w:cs="Times New Roman"/>
          <w:bCs/>
          <w:sz w:val="20"/>
          <w:szCs w:val="20"/>
        </w:rPr>
        <w:t>částečné pokrytí</w:t>
      </w:r>
      <w:r w:rsidR="00E12DAF">
        <w:rPr>
          <w:rFonts w:ascii="Times New Roman" w:hAnsi="Times New Roman" w:cs="Times New Roman"/>
          <w:bCs/>
          <w:sz w:val="20"/>
          <w:szCs w:val="20"/>
        </w:rPr>
        <w:t xml:space="preserve"> učební</w:t>
      </w:r>
      <w:r w:rsidR="00B90BD7">
        <w:rPr>
          <w:rFonts w:ascii="Times New Roman" w:hAnsi="Times New Roman" w:cs="Times New Roman"/>
          <w:bCs/>
          <w:sz w:val="20"/>
          <w:szCs w:val="20"/>
        </w:rPr>
        <w:t>ch</w:t>
      </w:r>
      <w:r w:rsidR="00E12DAF">
        <w:rPr>
          <w:rFonts w:ascii="Times New Roman" w:hAnsi="Times New Roman" w:cs="Times New Roman"/>
          <w:bCs/>
          <w:sz w:val="20"/>
          <w:szCs w:val="20"/>
        </w:rPr>
        <w:t xml:space="preserve"> pomů</w:t>
      </w:r>
      <w:r w:rsidR="00B90BD7">
        <w:rPr>
          <w:rFonts w:ascii="Times New Roman" w:hAnsi="Times New Roman" w:cs="Times New Roman"/>
          <w:bCs/>
          <w:sz w:val="20"/>
          <w:szCs w:val="20"/>
        </w:rPr>
        <w:t>cek je hrazeno z dotace, kterou poskytuje JMK</w:t>
      </w:r>
      <w:r w:rsidR="007942C5">
        <w:rPr>
          <w:rFonts w:ascii="Times New Roman" w:hAnsi="Times New Roman" w:cs="Times New Roman"/>
          <w:bCs/>
          <w:sz w:val="20"/>
          <w:szCs w:val="20"/>
        </w:rPr>
        <w:t xml:space="preserve">. Tyto příjmy dosahují částky </w:t>
      </w:r>
      <w:r w:rsidR="00473DA6">
        <w:rPr>
          <w:rFonts w:ascii="Times New Roman" w:hAnsi="Times New Roman" w:cs="Times New Roman"/>
          <w:bCs/>
          <w:sz w:val="20"/>
          <w:szCs w:val="20"/>
        </w:rPr>
        <w:t>26 918 198</w:t>
      </w:r>
      <w:r w:rsidR="007942C5">
        <w:rPr>
          <w:rFonts w:ascii="Times New Roman" w:hAnsi="Times New Roman" w:cs="Times New Roman"/>
          <w:bCs/>
          <w:sz w:val="20"/>
          <w:szCs w:val="20"/>
        </w:rPr>
        <w:t>,00 Kč</w:t>
      </w:r>
      <w:r w:rsidR="00473DA6">
        <w:rPr>
          <w:rFonts w:ascii="Times New Roman" w:hAnsi="Times New Roman" w:cs="Times New Roman"/>
          <w:bCs/>
          <w:sz w:val="20"/>
          <w:szCs w:val="20"/>
        </w:rPr>
        <w:t>. Část této dotace byla nevyčerpána a</w:t>
      </w:r>
      <w:r w:rsidR="00170C8A">
        <w:rPr>
          <w:rFonts w:ascii="Times New Roman" w:hAnsi="Times New Roman" w:cs="Times New Roman"/>
          <w:bCs/>
          <w:sz w:val="20"/>
          <w:szCs w:val="20"/>
        </w:rPr>
        <w:t xml:space="preserve"> v lednu 2022</w:t>
      </w:r>
      <w:r w:rsidR="00473DA6">
        <w:rPr>
          <w:rFonts w:ascii="Times New Roman" w:hAnsi="Times New Roman" w:cs="Times New Roman"/>
          <w:bCs/>
          <w:sz w:val="20"/>
          <w:szCs w:val="20"/>
        </w:rPr>
        <w:t xml:space="preserve"> vrácena zpět na účet JMK</w:t>
      </w:r>
      <w:r w:rsidR="00CA5F8B">
        <w:rPr>
          <w:rFonts w:ascii="Times New Roman" w:hAnsi="Times New Roman" w:cs="Times New Roman"/>
          <w:bCs/>
          <w:sz w:val="20"/>
          <w:szCs w:val="20"/>
        </w:rPr>
        <w:t xml:space="preserve"> ve výši 19 288,00 Kč</w:t>
      </w:r>
      <w:r w:rsidR="00170C8A">
        <w:rPr>
          <w:rFonts w:ascii="Times New Roman" w:hAnsi="Times New Roman" w:cs="Times New Roman"/>
          <w:bCs/>
          <w:sz w:val="20"/>
          <w:szCs w:val="20"/>
        </w:rPr>
        <w:t xml:space="preserve">. Jednalo se </w:t>
      </w:r>
      <w:r w:rsidR="00D2204A">
        <w:rPr>
          <w:rFonts w:ascii="Times New Roman" w:hAnsi="Times New Roman" w:cs="Times New Roman"/>
          <w:bCs/>
          <w:sz w:val="20"/>
          <w:szCs w:val="20"/>
        </w:rPr>
        <w:t>částku určenou na dou</w:t>
      </w:r>
      <w:r w:rsidR="00170C8A">
        <w:rPr>
          <w:rFonts w:ascii="Times New Roman" w:hAnsi="Times New Roman" w:cs="Times New Roman"/>
          <w:bCs/>
          <w:sz w:val="20"/>
          <w:szCs w:val="20"/>
        </w:rPr>
        <w:t>čování žáků</w:t>
      </w:r>
      <w:r w:rsidR="00D2204A">
        <w:rPr>
          <w:rFonts w:ascii="Times New Roman" w:hAnsi="Times New Roman" w:cs="Times New Roman"/>
          <w:bCs/>
          <w:sz w:val="20"/>
          <w:szCs w:val="20"/>
        </w:rPr>
        <w:t>.</w:t>
      </w:r>
    </w:p>
    <w:p w14:paraId="7C888FF7" w14:textId="7BA5D667" w:rsidR="006034D4" w:rsidRDefault="00F9647F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="006034D4">
        <w:rPr>
          <w:rFonts w:ascii="Times New Roman" w:hAnsi="Times New Roman" w:cs="Times New Roman"/>
          <w:bCs/>
          <w:sz w:val="20"/>
          <w:szCs w:val="20"/>
        </w:rPr>
        <w:t xml:space="preserve">ůležitým zdrojem financování jsou příjmy z projektů a dotací. Základní škola ukončila v prosinci roku 2021 Projekt </w:t>
      </w:r>
      <w:r w:rsidR="000E4639">
        <w:rPr>
          <w:rFonts w:ascii="Times New Roman" w:hAnsi="Times New Roman" w:cs="Times New Roman"/>
          <w:bCs/>
          <w:sz w:val="20"/>
          <w:szCs w:val="20"/>
        </w:rPr>
        <w:t xml:space="preserve">financovaný z Evropských fondů – OP VVV. Z důvodu </w:t>
      </w:r>
      <w:r w:rsidR="003D6F12">
        <w:rPr>
          <w:rFonts w:ascii="Times New Roman" w:hAnsi="Times New Roman" w:cs="Times New Roman"/>
          <w:bCs/>
          <w:sz w:val="20"/>
          <w:szCs w:val="20"/>
        </w:rPr>
        <w:t xml:space="preserve">pandemie a uzavření škol v první polovině roku 2021 nestihla škola vyčerpat veškeré finanční prostředky </w:t>
      </w:r>
      <w:r w:rsidR="00B06DD4">
        <w:rPr>
          <w:rFonts w:ascii="Times New Roman" w:hAnsi="Times New Roman" w:cs="Times New Roman"/>
          <w:bCs/>
          <w:sz w:val="20"/>
          <w:szCs w:val="20"/>
        </w:rPr>
        <w:t>z tohoto projektu, protože tyto finance byly účelově vázány k</w:t>
      </w:r>
      <w:r w:rsidR="00C947C0">
        <w:rPr>
          <w:rFonts w:ascii="Times New Roman" w:hAnsi="Times New Roman" w:cs="Times New Roman"/>
          <w:bCs/>
          <w:sz w:val="20"/>
          <w:szCs w:val="20"/>
        </w:rPr>
        <w:t> zajištění školních klubů. Vratka ve výši 106 998,00 Kč byla v lednu 2022 převedena na účet zřizovatele</w:t>
      </w:r>
      <w:r w:rsidR="002D6EC2">
        <w:rPr>
          <w:rFonts w:ascii="Times New Roman" w:hAnsi="Times New Roman" w:cs="Times New Roman"/>
          <w:bCs/>
          <w:sz w:val="20"/>
          <w:szCs w:val="20"/>
        </w:rPr>
        <w:t>.</w:t>
      </w:r>
    </w:p>
    <w:p w14:paraId="00897AB4" w14:textId="219270F0" w:rsidR="002F1DBA" w:rsidRPr="002941F8" w:rsidRDefault="002F1DBA" w:rsidP="002F1DBA">
      <w:pPr>
        <w:pStyle w:val="Standard"/>
        <w:tabs>
          <w:tab w:val="left" w:pos="1440"/>
          <w:tab w:val="left" w:pos="5400"/>
        </w:tabs>
        <w:jc w:val="both"/>
        <w:rPr>
          <w:bCs/>
        </w:rPr>
      </w:pPr>
      <w:r>
        <w:rPr>
          <w:bCs/>
        </w:rPr>
        <w:t xml:space="preserve">Základní škola Tyršova, p. o. ukončila v prosinci roku 2021 Projekt OP VVV ZŠ Tyršova Slavkov 63 (viz výše </w:t>
      </w:r>
      <w:proofErr w:type="spellStart"/>
      <w:r>
        <w:rPr>
          <w:bCs/>
        </w:rPr>
        <w:t>popsan</w:t>
      </w:r>
      <w:r w:rsidR="005F2716">
        <w:rPr>
          <w:bCs/>
        </w:rPr>
        <w:t>o</w:t>
      </w:r>
      <w:proofErr w:type="spellEnd"/>
      <w:r w:rsidR="005F2716">
        <w:rPr>
          <w:bCs/>
        </w:rPr>
        <w:t>)</w:t>
      </w:r>
      <w:r>
        <w:rPr>
          <w:bCs/>
        </w:rPr>
        <w:t xml:space="preserve"> a od září 2021 získala podporu z Projektu OP VVV ZŠ Tyršova Slavkov 80.</w:t>
      </w:r>
      <w:r w:rsidR="004B38F9">
        <w:rPr>
          <w:bCs/>
        </w:rPr>
        <w:t xml:space="preserve"> Finanční prostředky získané z tohoto projektu již ZŠ obdržela na svůj účet a nedočerpané prostředky přesunula před koncem roku </w:t>
      </w:r>
      <w:r w:rsidR="004B38F9">
        <w:rPr>
          <w:bCs/>
        </w:rPr>
        <w:lastRenderedPageBreak/>
        <w:t>2021 na rezervní fond.</w:t>
      </w:r>
      <w:r w:rsidR="00AA2452">
        <w:rPr>
          <w:bCs/>
        </w:rPr>
        <w:t xml:space="preserve"> Tyto finanční prostředky budou profinancovány následující roky.</w:t>
      </w:r>
      <w:r w:rsidR="00815298">
        <w:rPr>
          <w:bCs/>
        </w:rPr>
        <w:t xml:space="preserve"> Částka převedená na RF činní </w:t>
      </w:r>
      <w:r w:rsidR="00E669A8">
        <w:rPr>
          <w:bCs/>
        </w:rPr>
        <w:t>734 547,00 Kč.</w:t>
      </w:r>
    </w:p>
    <w:p w14:paraId="3534F20E" w14:textId="77777777" w:rsidR="002F1DBA" w:rsidRPr="00814958" w:rsidRDefault="002F1DBA" w:rsidP="002F1DBA">
      <w:pPr>
        <w:pStyle w:val="Standard"/>
        <w:tabs>
          <w:tab w:val="left" w:pos="1440"/>
          <w:tab w:val="left" w:pos="5400"/>
        </w:tabs>
        <w:jc w:val="both"/>
        <w:rPr>
          <w:b/>
        </w:rPr>
      </w:pPr>
    </w:p>
    <w:p w14:paraId="2AFC45DA" w14:textId="0F1A7F67" w:rsidR="00B10526" w:rsidRDefault="006034D4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Dalším zdrojem financování je příspěvek od zřizovatele na běžný provoz PO, jehož výše činila za rok 2021 2 891 000,00 Kč.</w:t>
      </w:r>
      <w:r w:rsidR="00F9647F">
        <w:rPr>
          <w:rFonts w:ascii="Times New Roman" w:hAnsi="Times New Roman" w:cs="Times New Roman"/>
          <w:bCs/>
          <w:sz w:val="20"/>
          <w:szCs w:val="20"/>
        </w:rPr>
        <w:t xml:space="preserve"> Z této položky jsou financován</w:t>
      </w:r>
      <w:r w:rsidR="00EE563D">
        <w:rPr>
          <w:rFonts w:ascii="Times New Roman" w:hAnsi="Times New Roman" w:cs="Times New Roman"/>
          <w:bCs/>
          <w:sz w:val="20"/>
          <w:szCs w:val="20"/>
        </w:rPr>
        <w:t xml:space="preserve">y zejména nákupy běžného </w:t>
      </w:r>
      <w:r w:rsidR="00EE563D" w:rsidRPr="00D73665">
        <w:rPr>
          <w:rFonts w:ascii="Times New Roman" w:hAnsi="Times New Roman" w:cs="Times New Roman"/>
          <w:b/>
          <w:sz w:val="20"/>
          <w:szCs w:val="20"/>
        </w:rPr>
        <w:t>materiálu</w:t>
      </w:r>
      <w:r w:rsidR="00EE563D">
        <w:rPr>
          <w:rFonts w:ascii="Times New Roman" w:hAnsi="Times New Roman" w:cs="Times New Roman"/>
          <w:bCs/>
          <w:sz w:val="20"/>
          <w:szCs w:val="20"/>
        </w:rPr>
        <w:t xml:space="preserve"> (kancelářský materiál, čisticí prostředky</w:t>
      </w:r>
      <w:r w:rsidR="00A16D6A">
        <w:rPr>
          <w:rFonts w:ascii="Times New Roman" w:hAnsi="Times New Roman" w:cs="Times New Roman"/>
          <w:bCs/>
          <w:sz w:val="20"/>
          <w:szCs w:val="20"/>
        </w:rPr>
        <w:t xml:space="preserve"> apod.)</w:t>
      </w:r>
      <w:r w:rsidR="00EE563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EE563D" w:rsidRPr="00D73665">
        <w:rPr>
          <w:rFonts w:ascii="Times New Roman" w:hAnsi="Times New Roman" w:cs="Times New Roman"/>
          <w:b/>
          <w:sz w:val="20"/>
          <w:szCs w:val="20"/>
        </w:rPr>
        <w:t>služby</w:t>
      </w:r>
      <w:r w:rsidR="00EE563D">
        <w:rPr>
          <w:rFonts w:ascii="Times New Roman" w:hAnsi="Times New Roman" w:cs="Times New Roman"/>
          <w:bCs/>
          <w:sz w:val="20"/>
          <w:szCs w:val="20"/>
        </w:rPr>
        <w:t xml:space="preserve"> (telefonní služby, svod odpadu, IT služby atd.)</w:t>
      </w:r>
      <w:r w:rsidR="00D73665">
        <w:rPr>
          <w:rFonts w:ascii="Times New Roman" w:hAnsi="Times New Roman" w:cs="Times New Roman"/>
          <w:bCs/>
          <w:sz w:val="20"/>
          <w:szCs w:val="20"/>
        </w:rPr>
        <w:t xml:space="preserve">, nákup </w:t>
      </w:r>
      <w:r w:rsidR="00D73665">
        <w:rPr>
          <w:rFonts w:ascii="Times New Roman" w:hAnsi="Times New Roman" w:cs="Times New Roman"/>
          <w:b/>
          <w:sz w:val="20"/>
          <w:szCs w:val="20"/>
        </w:rPr>
        <w:t>majetku</w:t>
      </w:r>
      <w:r w:rsidR="00D73665">
        <w:rPr>
          <w:rFonts w:ascii="Times New Roman" w:hAnsi="Times New Roman" w:cs="Times New Roman"/>
          <w:bCs/>
          <w:sz w:val="20"/>
          <w:szCs w:val="20"/>
        </w:rPr>
        <w:t>. Hlavní</w:t>
      </w:r>
      <w:r w:rsidR="00ED3E7B">
        <w:rPr>
          <w:rFonts w:ascii="Times New Roman" w:hAnsi="Times New Roman" w:cs="Times New Roman"/>
          <w:bCs/>
          <w:sz w:val="20"/>
          <w:szCs w:val="20"/>
        </w:rPr>
        <w:t xml:space="preserve"> položkou, která je pokryta z této dotace jsou náklady spojené s </w:t>
      </w:r>
      <w:r w:rsidR="00ED3E7B" w:rsidRPr="00ED3E7B">
        <w:rPr>
          <w:rFonts w:ascii="Times New Roman" w:hAnsi="Times New Roman" w:cs="Times New Roman"/>
          <w:b/>
          <w:sz w:val="20"/>
          <w:szCs w:val="20"/>
        </w:rPr>
        <w:t>energiemi</w:t>
      </w:r>
      <w:r w:rsidR="00ED3E7B">
        <w:rPr>
          <w:rFonts w:ascii="Times New Roman" w:hAnsi="Times New Roman" w:cs="Times New Roman"/>
          <w:bCs/>
          <w:sz w:val="20"/>
          <w:szCs w:val="20"/>
        </w:rPr>
        <w:t xml:space="preserve"> (elektrická energie, plyn, voda).</w:t>
      </w:r>
    </w:p>
    <w:p w14:paraId="06964DC4" w14:textId="73153048" w:rsidR="002F1DBA" w:rsidRDefault="006D2B45" w:rsidP="00C90CB8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ZŠ provádí i doplňkovou činnost (pronájem TV a víceúčelového hřiště). Této činnosti se v loňském roce také dotkla pandemie, proto se plánované výnosy začaly zvolna plnit až v druhé polovině roku. </w:t>
      </w:r>
      <w:r w:rsidR="00AC044B">
        <w:rPr>
          <w:rFonts w:ascii="Times New Roman" w:hAnsi="Times New Roman" w:cs="Times New Roman"/>
          <w:bCs/>
          <w:sz w:val="20"/>
          <w:szCs w:val="20"/>
        </w:rPr>
        <w:t xml:space="preserve">Z rozborů hospodaření vyplývá, že skutečné výnosy </w:t>
      </w:r>
      <w:r w:rsidR="003F57D7">
        <w:rPr>
          <w:rFonts w:ascii="Times New Roman" w:hAnsi="Times New Roman" w:cs="Times New Roman"/>
          <w:bCs/>
          <w:sz w:val="20"/>
          <w:szCs w:val="20"/>
        </w:rPr>
        <w:t>byly o cca 50 % nižší než plánované.</w:t>
      </w:r>
      <w:r w:rsidR="003A75E7">
        <w:rPr>
          <w:rFonts w:ascii="Times New Roman" w:hAnsi="Times New Roman" w:cs="Times New Roman"/>
          <w:bCs/>
          <w:sz w:val="20"/>
          <w:szCs w:val="20"/>
        </w:rPr>
        <w:t xml:space="preserve"> Vzhledem k tomu, že se nedokázal odhadnout vývoj situace v oblasti pandemie, byly omezeny </w:t>
      </w:r>
      <w:r w:rsidR="007E59A8">
        <w:rPr>
          <w:rFonts w:ascii="Times New Roman" w:hAnsi="Times New Roman" w:cs="Times New Roman"/>
          <w:bCs/>
          <w:sz w:val="20"/>
          <w:szCs w:val="20"/>
        </w:rPr>
        <w:t xml:space="preserve">nákupy </w:t>
      </w:r>
      <w:r w:rsidR="007E59A8">
        <w:rPr>
          <w:rFonts w:ascii="Times New Roman" w:hAnsi="Times New Roman" w:cs="Times New Roman"/>
          <w:bCs/>
          <w:sz w:val="18"/>
          <w:szCs w:val="18"/>
        </w:rPr>
        <w:t>(náklady vztahující se k této činnosti. Proto je výsledek hospodaření z DČ 145 626,50 Kč.</w:t>
      </w:r>
    </w:p>
    <w:p w14:paraId="0096FB21" w14:textId="6708BDDE" w:rsidR="00CD0050" w:rsidRPr="00833831" w:rsidRDefault="00F35124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18"/>
          <w:szCs w:val="18"/>
        </w:rPr>
        <w:t>Z hlavní činnosti – činí hospodářský výsledek 549 343,80 Kč</w:t>
      </w:r>
      <w:r w:rsidR="00281147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8274E2">
        <w:rPr>
          <w:rFonts w:ascii="Times New Roman" w:hAnsi="Times New Roman" w:cs="Times New Roman"/>
          <w:bCs/>
          <w:sz w:val="18"/>
          <w:szCs w:val="18"/>
        </w:rPr>
        <w:t>Vzhledem k</w:t>
      </w:r>
      <w:r w:rsidR="003652E1">
        <w:rPr>
          <w:rFonts w:ascii="Times New Roman" w:hAnsi="Times New Roman" w:cs="Times New Roman"/>
          <w:bCs/>
          <w:sz w:val="18"/>
          <w:szCs w:val="18"/>
        </w:rPr>
        <w:t> tomu, že byla škola v první polovině roku 2021 z velké části na distanční výuce, byly ušetřeny peněžní prostředky na energiích</w:t>
      </w:r>
      <w:r w:rsidR="00E47E1B">
        <w:rPr>
          <w:rFonts w:ascii="Times New Roman" w:hAnsi="Times New Roman" w:cs="Times New Roman"/>
          <w:bCs/>
          <w:sz w:val="18"/>
          <w:szCs w:val="18"/>
        </w:rPr>
        <w:t xml:space="preserve">, cca 250 000,00 Kč, což činí </w:t>
      </w:r>
      <w:r w:rsidR="00CA7E80">
        <w:rPr>
          <w:rFonts w:ascii="Times New Roman" w:hAnsi="Times New Roman" w:cs="Times New Roman"/>
          <w:bCs/>
          <w:sz w:val="18"/>
          <w:szCs w:val="18"/>
        </w:rPr>
        <w:t xml:space="preserve">zhruba poloviny hospodářského výsledku. </w:t>
      </w:r>
      <w:r w:rsidR="00353243">
        <w:rPr>
          <w:rFonts w:ascii="Times New Roman" w:hAnsi="Times New Roman" w:cs="Times New Roman"/>
          <w:bCs/>
          <w:sz w:val="18"/>
          <w:szCs w:val="18"/>
        </w:rPr>
        <w:t>To mělo samozřejmě vliv i na menší spotřebu materiálu</w:t>
      </w:r>
      <w:r w:rsidR="00CD0050">
        <w:rPr>
          <w:rFonts w:ascii="Times New Roman" w:hAnsi="Times New Roman" w:cs="Times New Roman"/>
          <w:bCs/>
          <w:sz w:val="18"/>
          <w:szCs w:val="18"/>
        </w:rPr>
        <w:t xml:space="preserve">, proto i v těchto plánovaných položkách </w:t>
      </w:r>
      <w:r w:rsidR="00CD0050" w:rsidRPr="00833831">
        <w:rPr>
          <w:rFonts w:ascii="Times New Roman" w:hAnsi="Times New Roman" w:cs="Times New Roman"/>
          <w:bCs/>
          <w:sz w:val="20"/>
          <w:szCs w:val="20"/>
        </w:rPr>
        <w:t>vznikají úspory, které poté vstupují do hospodářského výsledku.</w:t>
      </w:r>
    </w:p>
    <w:p w14:paraId="5568D32D" w14:textId="5BB643D7" w:rsidR="00CD7F1B" w:rsidRDefault="00933EE9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33831">
        <w:rPr>
          <w:rFonts w:ascii="Times New Roman" w:hAnsi="Times New Roman" w:cs="Times New Roman"/>
          <w:bCs/>
          <w:sz w:val="20"/>
          <w:szCs w:val="20"/>
        </w:rPr>
        <w:t xml:space="preserve">Základní škola navrhuje převod HV ve výši </w:t>
      </w:r>
      <w:r w:rsidR="000F20B8" w:rsidRPr="00833831">
        <w:rPr>
          <w:rFonts w:ascii="Times New Roman" w:hAnsi="Times New Roman" w:cs="Times New Roman"/>
          <w:bCs/>
          <w:sz w:val="20"/>
          <w:szCs w:val="20"/>
        </w:rPr>
        <w:t>69</w:t>
      </w:r>
      <w:r w:rsidR="003569F4">
        <w:rPr>
          <w:rFonts w:ascii="Times New Roman" w:hAnsi="Times New Roman" w:cs="Times New Roman"/>
          <w:bCs/>
          <w:sz w:val="20"/>
          <w:szCs w:val="20"/>
        </w:rPr>
        <w:t>4</w:t>
      </w:r>
      <w:r w:rsidR="000F20B8" w:rsidRPr="00833831">
        <w:rPr>
          <w:rFonts w:ascii="Times New Roman" w:hAnsi="Times New Roman" w:cs="Times New Roman"/>
          <w:bCs/>
          <w:sz w:val="20"/>
          <w:szCs w:val="20"/>
        </w:rPr>
        <w:t xml:space="preserve"> 970,30 Kč do rezervního fondu. Hlavním důvodem tohoto převodu je případná rezerva pro stále se navyšování </w:t>
      </w:r>
      <w:r w:rsidR="0095316D" w:rsidRPr="00833831">
        <w:rPr>
          <w:rFonts w:ascii="Times New Roman" w:hAnsi="Times New Roman" w:cs="Times New Roman"/>
          <w:bCs/>
          <w:sz w:val="20"/>
          <w:szCs w:val="20"/>
        </w:rPr>
        <w:t xml:space="preserve">cen energií. V roce 2021 byly zálohy za elektrickou energii ve výši </w:t>
      </w:r>
      <w:r w:rsidR="0011309A" w:rsidRPr="00833831">
        <w:rPr>
          <w:rFonts w:ascii="Times New Roman" w:hAnsi="Times New Roman" w:cs="Times New Roman"/>
          <w:bCs/>
          <w:sz w:val="20"/>
          <w:szCs w:val="20"/>
        </w:rPr>
        <w:t xml:space="preserve">14 850,00 Kč (plyn) a </w:t>
      </w:r>
      <w:r w:rsidR="007C24F2" w:rsidRPr="00833831">
        <w:rPr>
          <w:rFonts w:ascii="Times New Roman" w:hAnsi="Times New Roman" w:cs="Times New Roman"/>
          <w:bCs/>
          <w:sz w:val="20"/>
          <w:szCs w:val="20"/>
        </w:rPr>
        <w:t>21 570,00 Kč (elektřina). V roce 2022 hradí škola zálohu na plyn ve výši</w:t>
      </w:r>
      <w:r w:rsidR="00E05A8E" w:rsidRPr="0083383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4177F" w:rsidRPr="00833831">
        <w:rPr>
          <w:rFonts w:ascii="Times New Roman" w:hAnsi="Times New Roman" w:cs="Times New Roman"/>
          <w:bCs/>
          <w:sz w:val="20"/>
          <w:szCs w:val="20"/>
        </w:rPr>
        <w:t>57 550,00 Kč a zálohu na elektrickou energii ve výši</w:t>
      </w:r>
      <w:r w:rsidR="00E05A8E" w:rsidRPr="00833831">
        <w:rPr>
          <w:rFonts w:ascii="Times New Roman" w:hAnsi="Times New Roman" w:cs="Times New Roman"/>
          <w:bCs/>
          <w:sz w:val="20"/>
          <w:szCs w:val="20"/>
        </w:rPr>
        <w:t xml:space="preserve"> 23 100,00 Kč</w:t>
      </w:r>
      <w:r w:rsidR="00B4177F" w:rsidRPr="00833831">
        <w:rPr>
          <w:rFonts w:ascii="Times New Roman" w:hAnsi="Times New Roman" w:cs="Times New Roman"/>
          <w:bCs/>
          <w:sz w:val="20"/>
          <w:szCs w:val="20"/>
        </w:rPr>
        <w:t>. Za elektrickou energii jsme za leden 2022 dopláceli částku</w:t>
      </w:r>
      <w:r w:rsidR="001658CC" w:rsidRPr="00833831">
        <w:rPr>
          <w:rFonts w:ascii="Times New Roman" w:hAnsi="Times New Roman" w:cs="Times New Roman"/>
          <w:bCs/>
          <w:sz w:val="20"/>
          <w:szCs w:val="20"/>
        </w:rPr>
        <w:t xml:space="preserve"> ve výši 29 049,19 Kč, což znamená (i přeš </w:t>
      </w:r>
      <w:r w:rsidR="00735204" w:rsidRPr="00833831">
        <w:rPr>
          <w:rFonts w:ascii="Times New Roman" w:hAnsi="Times New Roman" w:cs="Times New Roman"/>
          <w:bCs/>
          <w:sz w:val="20"/>
          <w:szCs w:val="20"/>
        </w:rPr>
        <w:t>nízkou měsíční zálohu), že skut</w:t>
      </w:r>
      <w:r w:rsidR="00833831">
        <w:rPr>
          <w:rFonts w:ascii="Times New Roman" w:hAnsi="Times New Roman" w:cs="Times New Roman"/>
          <w:bCs/>
          <w:sz w:val="20"/>
          <w:szCs w:val="20"/>
        </w:rPr>
        <w:t xml:space="preserve">ečná měsíční spotřeba el. energie </w:t>
      </w:r>
      <w:r w:rsidR="00B82C7D">
        <w:rPr>
          <w:rFonts w:ascii="Times New Roman" w:hAnsi="Times New Roman" w:cs="Times New Roman"/>
          <w:bCs/>
          <w:sz w:val="20"/>
          <w:szCs w:val="20"/>
        </w:rPr>
        <w:t>činí cca 51 000,00 Kč</w:t>
      </w:r>
      <w:r w:rsidR="00722F68">
        <w:rPr>
          <w:rFonts w:ascii="Times New Roman" w:hAnsi="Times New Roman" w:cs="Times New Roman"/>
          <w:bCs/>
          <w:sz w:val="20"/>
          <w:szCs w:val="20"/>
        </w:rPr>
        <w:t>.</w:t>
      </w:r>
    </w:p>
    <w:p w14:paraId="185B5C9F" w14:textId="1D03C5BF" w:rsidR="00722F68" w:rsidRDefault="00B85803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 rezervního fondu by tedy mohla být dokryt případný rozdíl mezi rozpočtovanými náklady na energie, poskytnutým účelovým příspěvkem zřizovatele a skutečno</w:t>
      </w:r>
      <w:r w:rsidR="00A56AC9">
        <w:rPr>
          <w:rFonts w:ascii="Times New Roman" w:hAnsi="Times New Roman" w:cs="Times New Roman"/>
          <w:bCs/>
          <w:sz w:val="20"/>
          <w:szCs w:val="20"/>
        </w:rPr>
        <w:t>u spotřebou.</w:t>
      </w:r>
    </w:p>
    <w:p w14:paraId="34C60236" w14:textId="2C9A92E2" w:rsidR="00A56AC9" w:rsidRDefault="00A56AC9" w:rsidP="00C90CB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Další důležité kroky v rámci úspor elektrických energií je z hlediska školy investice do LED osvětlení. I tato oprava by </w:t>
      </w:r>
      <w:r w:rsidR="00EA1D2D">
        <w:rPr>
          <w:rFonts w:ascii="Times New Roman" w:hAnsi="Times New Roman" w:cs="Times New Roman"/>
          <w:bCs/>
          <w:sz w:val="20"/>
          <w:szCs w:val="20"/>
        </w:rPr>
        <w:t>byla možná z rezervního fondu dofinancovat a škole by to ušetřilo náklady na energie</w:t>
      </w:r>
      <w:r w:rsidR="00336FFC">
        <w:rPr>
          <w:rFonts w:ascii="Times New Roman" w:hAnsi="Times New Roman" w:cs="Times New Roman"/>
          <w:bCs/>
          <w:sz w:val="20"/>
          <w:szCs w:val="20"/>
        </w:rPr>
        <w:t xml:space="preserve"> do následujících let.</w:t>
      </w:r>
      <w:r w:rsidR="00F57771">
        <w:rPr>
          <w:rFonts w:ascii="Times New Roman" w:hAnsi="Times New Roman" w:cs="Times New Roman"/>
          <w:bCs/>
          <w:sz w:val="20"/>
          <w:szCs w:val="20"/>
        </w:rPr>
        <w:t xml:space="preserve"> Dále jsou dlouhodobě plánovány opravy chodeb, nákup potřebného majetku (</w:t>
      </w:r>
      <w:r w:rsidR="00004BAE">
        <w:rPr>
          <w:rFonts w:ascii="Times New Roman" w:hAnsi="Times New Roman" w:cs="Times New Roman"/>
          <w:bCs/>
          <w:sz w:val="20"/>
          <w:szCs w:val="20"/>
        </w:rPr>
        <w:t>nábytku apod.).</w:t>
      </w:r>
    </w:p>
    <w:p w14:paraId="1352146F" w14:textId="77777777" w:rsidR="00203B5F" w:rsidRDefault="00203B5F">
      <w:pPr>
        <w:rPr>
          <w:rFonts w:ascii="Times New Roman" w:hAnsi="Times New Roman" w:cs="Times New Roman"/>
          <w:b/>
          <w:sz w:val="20"/>
          <w:szCs w:val="20"/>
        </w:rPr>
      </w:pPr>
    </w:p>
    <w:p w14:paraId="4B58032B" w14:textId="5997101D" w:rsidR="00E51650" w:rsidRDefault="00E5165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Návrh na rozdělení hospodářského výsledku 2021</w:t>
      </w:r>
    </w:p>
    <w:p w14:paraId="4B3876BA" w14:textId="4F430C9F" w:rsidR="00E51650" w:rsidRDefault="00E5165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Výsledek hospodaření 2021 – DČ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145 626,50 Kč</w:t>
      </w:r>
    </w:p>
    <w:p w14:paraId="5601F386" w14:textId="77777777" w:rsidR="00743BF0" w:rsidRDefault="00E5165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Výsledek hospodaření 2021 – HČ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743BF0">
        <w:rPr>
          <w:rFonts w:ascii="Times New Roman" w:hAnsi="Times New Roman" w:cs="Times New Roman"/>
          <w:b/>
          <w:sz w:val="20"/>
          <w:szCs w:val="20"/>
        </w:rPr>
        <w:t>549 343,80 Kč</w:t>
      </w:r>
    </w:p>
    <w:p w14:paraId="24FFF3C0" w14:textId="6FC2066B" w:rsidR="00743BF0" w:rsidRDefault="00743B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CELKEM HV 2021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D724FE">
        <w:rPr>
          <w:rFonts w:ascii="Times New Roman" w:hAnsi="Times New Roman" w:cs="Times New Roman"/>
          <w:b/>
          <w:sz w:val="20"/>
          <w:szCs w:val="20"/>
        </w:rPr>
        <w:t>694 970</w:t>
      </w:r>
      <w:r>
        <w:rPr>
          <w:rFonts w:ascii="Times New Roman" w:hAnsi="Times New Roman" w:cs="Times New Roman"/>
          <w:b/>
          <w:sz w:val="20"/>
          <w:szCs w:val="20"/>
        </w:rPr>
        <w:t>,30 Kč</w:t>
      </w:r>
    </w:p>
    <w:p w14:paraId="46AA334D" w14:textId="3AF60E3D" w:rsidR="00743BF0" w:rsidRDefault="00743B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PŘEVOD DO REZERVNÍHO FONDU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69</w:t>
      </w:r>
      <w:r w:rsidR="00D724FE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 970,30 K</w:t>
      </w:r>
      <w:r w:rsidR="004346EF">
        <w:rPr>
          <w:rFonts w:ascii="Times New Roman" w:hAnsi="Times New Roman" w:cs="Times New Roman"/>
          <w:b/>
          <w:sz w:val="20"/>
          <w:szCs w:val="20"/>
        </w:rPr>
        <w:t>č</w:t>
      </w:r>
    </w:p>
    <w:p w14:paraId="3DD3296E" w14:textId="73D17CB5" w:rsidR="005F27BD" w:rsidRDefault="005F27B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B9D5018" w14:textId="095C87D2" w:rsidR="005E1D9D" w:rsidRDefault="005E1D9D" w:rsidP="00C90CB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E4ECF">
        <w:rPr>
          <w:rFonts w:ascii="Times New Roman" w:hAnsi="Times New Roman" w:cs="Times New Roman"/>
          <w:b/>
          <w:sz w:val="20"/>
          <w:szCs w:val="20"/>
        </w:rPr>
        <w:lastRenderedPageBreak/>
        <w:t>Přehled fondů 2021</w:t>
      </w:r>
    </w:p>
    <w:tbl>
      <w:tblPr>
        <w:tblStyle w:val="Mkatabulky"/>
        <w:tblW w:w="8095" w:type="dxa"/>
        <w:tblLook w:val="04A0" w:firstRow="1" w:lastRow="0" w:firstColumn="1" w:lastColumn="0" w:noHBand="0" w:noVBand="1"/>
      </w:tblPr>
      <w:tblGrid>
        <w:gridCol w:w="2107"/>
        <w:gridCol w:w="516"/>
        <w:gridCol w:w="993"/>
        <w:gridCol w:w="3013"/>
        <w:gridCol w:w="1466"/>
      </w:tblGrid>
      <w:tr w:rsidR="005F27BD" w:rsidRPr="005E4ECF" w14:paraId="0A91F7D0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302115C7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FO</w:t>
            </w:r>
          </w:p>
        </w:tc>
        <w:tc>
          <w:tcPr>
            <w:tcW w:w="516" w:type="dxa"/>
            <w:noWrap/>
            <w:hideMark/>
          </w:tcPr>
          <w:p w14:paraId="004D3502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993" w:type="dxa"/>
            <w:noWrap/>
            <w:hideMark/>
          </w:tcPr>
          <w:p w14:paraId="2CF74CAB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411-0300</w:t>
            </w:r>
          </w:p>
        </w:tc>
        <w:tc>
          <w:tcPr>
            <w:tcW w:w="3013" w:type="dxa"/>
            <w:noWrap/>
            <w:hideMark/>
          </w:tcPr>
          <w:p w14:paraId="264505C7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fondu k 1.1.2021</w:t>
            </w:r>
          </w:p>
        </w:tc>
        <w:tc>
          <w:tcPr>
            <w:tcW w:w="1466" w:type="dxa"/>
            <w:noWrap/>
            <w:hideMark/>
          </w:tcPr>
          <w:p w14:paraId="40FB7A5C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60 000,00</w:t>
            </w:r>
          </w:p>
        </w:tc>
      </w:tr>
      <w:tr w:rsidR="005E4ECF" w:rsidRPr="005E4ECF" w14:paraId="4CFF04CD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1CDC989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Zůstatek k 31.12.2021 </w:t>
            </w:r>
            <w:proofErr w:type="gramStart"/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FO - pokud</w:t>
            </w:r>
            <w:proofErr w:type="gramEnd"/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nebude čerpání</w:t>
            </w:r>
          </w:p>
        </w:tc>
        <w:tc>
          <w:tcPr>
            <w:tcW w:w="1466" w:type="dxa"/>
            <w:noWrap/>
            <w:hideMark/>
          </w:tcPr>
          <w:p w14:paraId="55D7A5C3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60 000,00</w:t>
            </w:r>
          </w:p>
        </w:tc>
      </w:tr>
      <w:tr w:rsidR="005F27BD" w:rsidRPr="005E4ECF" w14:paraId="2B5AC64C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6E6819F1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noWrap/>
            <w:hideMark/>
          </w:tcPr>
          <w:p w14:paraId="2AB81ADA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noWrap/>
            <w:hideMark/>
          </w:tcPr>
          <w:p w14:paraId="73EAF10A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3" w:type="dxa"/>
            <w:noWrap/>
            <w:hideMark/>
          </w:tcPr>
          <w:p w14:paraId="172DF04A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6" w:type="dxa"/>
            <w:noWrap/>
            <w:hideMark/>
          </w:tcPr>
          <w:p w14:paraId="586810D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27BD" w:rsidRPr="005E4ECF" w14:paraId="1118CB80" w14:textId="77777777" w:rsidTr="005F27BD">
        <w:trPr>
          <w:trHeight w:val="330"/>
        </w:trPr>
        <w:tc>
          <w:tcPr>
            <w:tcW w:w="2107" w:type="dxa"/>
            <w:noWrap/>
            <w:hideMark/>
          </w:tcPr>
          <w:p w14:paraId="5476224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516" w:type="dxa"/>
            <w:noWrap/>
            <w:hideMark/>
          </w:tcPr>
          <w:p w14:paraId="530EFC3A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993" w:type="dxa"/>
            <w:noWrap/>
            <w:hideMark/>
          </w:tcPr>
          <w:p w14:paraId="00EF1A83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412-0100</w:t>
            </w:r>
          </w:p>
        </w:tc>
        <w:tc>
          <w:tcPr>
            <w:tcW w:w="3013" w:type="dxa"/>
            <w:noWrap/>
            <w:hideMark/>
          </w:tcPr>
          <w:p w14:paraId="6FD8B41B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fondu k 1.1.2021</w:t>
            </w:r>
          </w:p>
        </w:tc>
        <w:tc>
          <w:tcPr>
            <w:tcW w:w="1466" w:type="dxa"/>
            <w:noWrap/>
            <w:hideMark/>
          </w:tcPr>
          <w:p w14:paraId="67826991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588 410,48</w:t>
            </w:r>
          </w:p>
        </w:tc>
      </w:tr>
      <w:tr w:rsidR="005F27BD" w:rsidRPr="005E4ECF" w14:paraId="664CDB68" w14:textId="77777777" w:rsidTr="005F27BD">
        <w:trPr>
          <w:trHeight w:val="330"/>
        </w:trPr>
        <w:tc>
          <w:tcPr>
            <w:tcW w:w="2107" w:type="dxa"/>
            <w:noWrap/>
            <w:hideMark/>
          </w:tcPr>
          <w:p w14:paraId="7F43AF9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62B3EF46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993" w:type="dxa"/>
            <w:noWrap/>
            <w:hideMark/>
          </w:tcPr>
          <w:p w14:paraId="2BEF2BEB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412-0110</w:t>
            </w:r>
          </w:p>
        </w:tc>
        <w:tc>
          <w:tcPr>
            <w:tcW w:w="3013" w:type="dxa"/>
            <w:noWrap/>
            <w:hideMark/>
          </w:tcPr>
          <w:p w14:paraId="1174A7E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příjem </w:t>
            </w:r>
          </w:p>
        </w:tc>
        <w:tc>
          <w:tcPr>
            <w:tcW w:w="1466" w:type="dxa"/>
            <w:noWrap/>
            <w:hideMark/>
          </w:tcPr>
          <w:p w14:paraId="4359C7A5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387 679,00</w:t>
            </w:r>
          </w:p>
        </w:tc>
      </w:tr>
      <w:tr w:rsidR="005F27BD" w:rsidRPr="005E4ECF" w14:paraId="199982D4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2D8A162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58082D4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993" w:type="dxa"/>
            <w:noWrap/>
            <w:hideMark/>
          </w:tcPr>
          <w:p w14:paraId="4E27BC6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6572CC5F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čerpání</w:t>
            </w:r>
          </w:p>
        </w:tc>
        <w:tc>
          <w:tcPr>
            <w:tcW w:w="1466" w:type="dxa"/>
            <w:noWrap/>
            <w:hideMark/>
          </w:tcPr>
          <w:p w14:paraId="00175160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176 789,00</w:t>
            </w:r>
          </w:p>
        </w:tc>
      </w:tr>
      <w:tr w:rsidR="005F27BD" w:rsidRPr="005E4ECF" w14:paraId="55E8F9E7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313CC64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Zůstatek k 31.12.2021 FKSP </w:t>
            </w:r>
          </w:p>
        </w:tc>
        <w:tc>
          <w:tcPr>
            <w:tcW w:w="516" w:type="dxa"/>
            <w:noWrap/>
            <w:hideMark/>
          </w:tcPr>
          <w:p w14:paraId="038F48F7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AEECB5A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25FC0833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50D35176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799 300,48</w:t>
            </w:r>
          </w:p>
        </w:tc>
      </w:tr>
      <w:tr w:rsidR="005F27BD" w:rsidRPr="005E4ECF" w14:paraId="26C91FB9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65C7EB2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419642DD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C8FFB7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7AAFD721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46DCFC5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5F27BD" w:rsidRPr="005E4ECF" w14:paraId="6A9E0717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21FA339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RF</w:t>
            </w:r>
          </w:p>
        </w:tc>
        <w:tc>
          <w:tcPr>
            <w:tcW w:w="516" w:type="dxa"/>
            <w:noWrap/>
            <w:hideMark/>
          </w:tcPr>
          <w:p w14:paraId="169B022D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3" w:type="dxa"/>
            <w:noWrap/>
            <w:hideMark/>
          </w:tcPr>
          <w:p w14:paraId="53AF40A7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413-0500</w:t>
            </w:r>
          </w:p>
        </w:tc>
        <w:tc>
          <w:tcPr>
            <w:tcW w:w="3013" w:type="dxa"/>
            <w:noWrap/>
            <w:hideMark/>
          </w:tcPr>
          <w:p w14:paraId="05502B60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fondu k 1.1.2021</w:t>
            </w:r>
          </w:p>
        </w:tc>
        <w:tc>
          <w:tcPr>
            <w:tcW w:w="1466" w:type="dxa"/>
            <w:noWrap/>
            <w:hideMark/>
          </w:tcPr>
          <w:p w14:paraId="6F9CBA25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674 185,89</w:t>
            </w:r>
          </w:p>
        </w:tc>
      </w:tr>
      <w:tr w:rsidR="005F27BD" w:rsidRPr="005E4ECF" w14:paraId="37BFFE92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4B82DBB1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632E313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3" w:type="dxa"/>
            <w:noWrap/>
            <w:hideMark/>
          </w:tcPr>
          <w:p w14:paraId="193E3E93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413-0510</w:t>
            </w:r>
          </w:p>
        </w:tc>
        <w:tc>
          <w:tcPr>
            <w:tcW w:w="3013" w:type="dxa"/>
            <w:noWrap/>
            <w:hideMark/>
          </w:tcPr>
          <w:p w14:paraId="03F34BD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tvorba z HV 2020</w:t>
            </w:r>
          </w:p>
        </w:tc>
        <w:tc>
          <w:tcPr>
            <w:tcW w:w="1466" w:type="dxa"/>
            <w:noWrap/>
            <w:hideMark/>
          </w:tcPr>
          <w:p w14:paraId="27B07688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48 982,57</w:t>
            </w:r>
          </w:p>
        </w:tc>
      </w:tr>
      <w:tr w:rsidR="005F27BD" w:rsidRPr="005E4ECF" w14:paraId="5AF87869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5B960599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561A144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3" w:type="dxa"/>
            <w:noWrap/>
            <w:hideMark/>
          </w:tcPr>
          <w:p w14:paraId="2D7469A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413-0650</w:t>
            </w:r>
          </w:p>
        </w:tc>
        <w:tc>
          <w:tcPr>
            <w:tcW w:w="3013" w:type="dxa"/>
            <w:noWrap/>
            <w:hideMark/>
          </w:tcPr>
          <w:p w14:paraId="6605C4C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čerpání - 2021</w:t>
            </w:r>
          </w:p>
        </w:tc>
        <w:tc>
          <w:tcPr>
            <w:tcW w:w="1466" w:type="dxa"/>
            <w:noWrap/>
            <w:hideMark/>
          </w:tcPr>
          <w:p w14:paraId="065A8DA4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</w:tr>
      <w:tr w:rsidR="005F27BD" w:rsidRPr="005E4ECF" w14:paraId="1B2459DC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093037F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19DF3D05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993" w:type="dxa"/>
            <w:noWrap/>
            <w:hideMark/>
          </w:tcPr>
          <w:p w14:paraId="2434B73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1564AC7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stav fondu k 31.12.2021</w:t>
            </w:r>
          </w:p>
        </w:tc>
        <w:tc>
          <w:tcPr>
            <w:tcW w:w="1466" w:type="dxa"/>
            <w:noWrap/>
            <w:hideMark/>
          </w:tcPr>
          <w:p w14:paraId="523A2182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723 168,46</w:t>
            </w:r>
          </w:p>
        </w:tc>
      </w:tr>
      <w:tr w:rsidR="005F27BD" w:rsidRPr="005E4ECF" w14:paraId="044FEC20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5C981A6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2398DDA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503B30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79F7A3F3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6" w:type="dxa"/>
            <w:noWrap/>
            <w:hideMark/>
          </w:tcPr>
          <w:p w14:paraId="2C59990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5F27BD" w:rsidRPr="005E4ECF" w14:paraId="6AE06D5D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0922278C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7E53E7DE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993" w:type="dxa"/>
            <w:noWrap/>
            <w:hideMark/>
          </w:tcPr>
          <w:p w14:paraId="73F330D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414-0500</w:t>
            </w:r>
          </w:p>
        </w:tc>
        <w:tc>
          <w:tcPr>
            <w:tcW w:w="3013" w:type="dxa"/>
            <w:noWrap/>
            <w:hideMark/>
          </w:tcPr>
          <w:p w14:paraId="53A4EE2F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fondu + PROJEK k 1.1.2021</w:t>
            </w:r>
          </w:p>
        </w:tc>
        <w:tc>
          <w:tcPr>
            <w:tcW w:w="1466" w:type="dxa"/>
            <w:noWrap/>
            <w:hideMark/>
          </w:tcPr>
          <w:p w14:paraId="795271B0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639 194,85</w:t>
            </w:r>
          </w:p>
        </w:tc>
      </w:tr>
      <w:tr w:rsidR="005F27BD" w:rsidRPr="005E4ECF" w14:paraId="60CA8E68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3ED06F83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5D52CFA0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993" w:type="dxa"/>
            <w:noWrap/>
            <w:hideMark/>
          </w:tcPr>
          <w:p w14:paraId="4CF42190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414-0550</w:t>
            </w:r>
          </w:p>
        </w:tc>
        <w:tc>
          <w:tcPr>
            <w:tcW w:w="3013" w:type="dxa"/>
            <w:noWrap/>
            <w:hideMark/>
          </w:tcPr>
          <w:p w14:paraId="4CB8757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Projekt "80", dotace doučování</w:t>
            </w:r>
          </w:p>
        </w:tc>
        <w:tc>
          <w:tcPr>
            <w:tcW w:w="1466" w:type="dxa"/>
            <w:noWrap/>
            <w:hideMark/>
          </w:tcPr>
          <w:p w14:paraId="5B8036FE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734 547,00</w:t>
            </w:r>
          </w:p>
        </w:tc>
      </w:tr>
      <w:tr w:rsidR="005F27BD" w:rsidRPr="005E4ECF" w14:paraId="6411F00D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55C60758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9149376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993" w:type="dxa"/>
            <w:noWrap/>
            <w:hideMark/>
          </w:tcPr>
          <w:p w14:paraId="1569DD3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414-0650</w:t>
            </w:r>
          </w:p>
        </w:tc>
        <w:tc>
          <w:tcPr>
            <w:tcW w:w="3013" w:type="dxa"/>
            <w:noWrap/>
            <w:hideMark/>
          </w:tcPr>
          <w:p w14:paraId="1957C45F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čerpání - projekt</w:t>
            </w:r>
            <w:proofErr w:type="gramEnd"/>
          </w:p>
        </w:tc>
        <w:tc>
          <w:tcPr>
            <w:tcW w:w="1466" w:type="dxa"/>
            <w:noWrap/>
            <w:hideMark/>
          </w:tcPr>
          <w:p w14:paraId="571537FE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474 910,70</w:t>
            </w:r>
          </w:p>
        </w:tc>
      </w:tr>
      <w:tr w:rsidR="005F27BD" w:rsidRPr="005E4ECF" w14:paraId="51A08EA1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1F33085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3D33DAF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414</w:t>
            </w:r>
          </w:p>
        </w:tc>
        <w:tc>
          <w:tcPr>
            <w:tcW w:w="993" w:type="dxa"/>
            <w:noWrap/>
            <w:hideMark/>
          </w:tcPr>
          <w:p w14:paraId="59F21AC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13" w:type="dxa"/>
            <w:noWrap/>
            <w:hideMark/>
          </w:tcPr>
          <w:p w14:paraId="37F9DA3F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stav fondu k 31.12.2021</w:t>
            </w:r>
          </w:p>
        </w:tc>
        <w:tc>
          <w:tcPr>
            <w:tcW w:w="1466" w:type="dxa"/>
            <w:noWrap/>
            <w:hideMark/>
          </w:tcPr>
          <w:p w14:paraId="07368532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898 831,15</w:t>
            </w:r>
          </w:p>
        </w:tc>
      </w:tr>
      <w:tr w:rsidR="005E4ECF" w:rsidRPr="005E4ECF" w14:paraId="413E093F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178C8A90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RF 413 + 414 stav k 1. 1. 2021</w:t>
            </w:r>
          </w:p>
        </w:tc>
        <w:tc>
          <w:tcPr>
            <w:tcW w:w="1466" w:type="dxa"/>
            <w:noWrap/>
            <w:hideMark/>
          </w:tcPr>
          <w:p w14:paraId="05AC6226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1 313 380,74</w:t>
            </w:r>
          </w:p>
        </w:tc>
      </w:tr>
      <w:tr w:rsidR="005E4ECF" w:rsidRPr="005E4ECF" w14:paraId="0AD122FA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03F58DA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RF 413 + 414 tvorba z HV 2020+dary</w:t>
            </w:r>
          </w:p>
        </w:tc>
        <w:tc>
          <w:tcPr>
            <w:tcW w:w="1466" w:type="dxa"/>
            <w:noWrap/>
            <w:hideMark/>
          </w:tcPr>
          <w:p w14:paraId="7E4727DC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783 529,57</w:t>
            </w:r>
          </w:p>
        </w:tc>
      </w:tr>
      <w:tr w:rsidR="005E4ECF" w:rsidRPr="005E4ECF" w14:paraId="4AC1B4B6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143794A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RF 413 + 414 čerpání</w:t>
            </w:r>
          </w:p>
        </w:tc>
        <w:tc>
          <w:tcPr>
            <w:tcW w:w="1466" w:type="dxa"/>
            <w:noWrap/>
            <w:hideMark/>
          </w:tcPr>
          <w:p w14:paraId="334DCD17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474 910,70</w:t>
            </w:r>
          </w:p>
        </w:tc>
      </w:tr>
      <w:tr w:rsidR="005E4ECF" w:rsidRPr="005E4ECF" w14:paraId="38A638F8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043E7D4B" w14:textId="6665EE9A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Zůstatek k 3</w:t>
            </w:r>
            <w:r w:rsidR="005F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</w:t>
            </w: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.1</w:t>
            </w:r>
            <w:r w:rsidR="005F27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</w:t>
            </w: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.2021 Rezervní fond</w:t>
            </w:r>
          </w:p>
        </w:tc>
        <w:tc>
          <w:tcPr>
            <w:tcW w:w="1466" w:type="dxa"/>
            <w:noWrap/>
            <w:hideMark/>
          </w:tcPr>
          <w:p w14:paraId="6C594B2F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1 621 999,61</w:t>
            </w:r>
          </w:p>
        </w:tc>
      </w:tr>
      <w:tr w:rsidR="005F27BD" w:rsidRPr="005E4ECF" w14:paraId="3537AD37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17DB24FF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FI</w:t>
            </w:r>
          </w:p>
        </w:tc>
        <w:tc>
          <w:tcPr>
            <w:tcW w:w="516" w:type="dxa"/>
            <w:noWrap/>
            <w:hideMark/>
          </w:tcPr>
          <w:p w14:paraId="4D2707DA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993" w:type="dxa"/>
            <w:noWrap/>
            <w:hideMark/>
          </w:tcPr>
          <w:p w14:paraId="6D651F64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416-0300</w:t>
            </w:r>
          </w:p>
        </w:tc>
        <w:tc>
          <w:tcPr>
            <w:tcW w:w="3013" w:type="dxa"/>
            <w:noWrap/>
            <w:hideMark/>
          </w:tcPr>
          <w:p w14:paraId="5B72406E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stav fondu k 1.1.2020</w:t>
            </w:r>
          </w:p>
        </w:tc>
        <w:tc>
          <w:tcPr>
            <w:tcW w:w="1466" w:type="dxa"/>
            <w:noWrap/>
            <w:hideMark/>
          </w:tcPr>
          <w:p w14:paraId="491E949A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39 115,70</w:t>
            </w:r>
          </w:p>
        </w:tc>
      </w:tr>
      <w:tr w:rsidR="005F27BD" w:rsidRPr="005E4ECF" w14:paraId="5431EB74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33FCE595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08004D5D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993" w:type="dxa"/>
            <w:noWrap/>
            <w:hideMark/>
          </w:tcPr>
          <w:p w14:paraId="0EA4A029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416-0370</w:t>
            </w:r>
          </w:p>
        </w:tc>
        <w:tc>
          <w:tcPr>
            <w:tcW w:w="3013" w:type="dxa"/>
            <w:noWrap/>
            <w:hideMark/>
          </w:tcPr>
          <w:p w14:paraId="5CA10149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tvorba </w:t>
            </w:r>
            <w:proofErr w:type="gramStart"/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fondu - odpisy</w:t>
            </w:r>
            <w:proofErr w:type="gramEnd"/>
          </w:p>
        </w:tc>
        <w:tc>
          <w:tcPr>
            <w:tcW w:w="1466" w:type="dxa"/>
            <w:noWrap/>
            <w:hideMark/>
          </w:tcPr>
          <w:p w14:paraId="27BB36CC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78 749,00</w:t>
            </w:r>
          </w:p>
        </w:tc>
      </w:tr>
      <w:tr w:rsidR="005F27BD" w:rsidRPr="005E4ECF" w14:paraId="2E0CF230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1A22959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3BD16A2B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993" w:type="dxa"/>
            <w:noWrap/>
            <w:hideMark/>
          </w:tcPr>
          <w:p w14:paraId="6BE2C2D1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416-0370</w:t>
            </w:r>
          </w:p>
        </w:tc>
        <w:tc>
          <w:tcPr>
            <w:tcW w:w="3013" w:type="dxa"/>
            <w:noWrap/>
            <w:hideMark/>
          </w:tcPr>
          <w:p w14:paraId="7558CBE6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tvorba </w:t>
            </w:r>
            <w:proofErr w:type="gramStart"/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fondu - převod</w:t>
            </w:r>
            <w:proofErr w:type="gramEnd"/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 RF</w:t>
            </w:r>
          </w:p>
        </w:tc>
        <w:tc>
          <w:tcPr>
            <w:tcW w:w="1466" w:type="dxa"/>
            <w:noWrap/>
            <w:hideMark/>
          </w:tcPr>
          <w:p w14:paraId="6A93400C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</w:tr>
      <w:tr w:rsidR="005F27BD" w:rsidRPr="005E4ECF" w14:paraId="4F9619BA" w14:textId="77777777" w:rsidTr="005F27BD">
        <w:trPr>
          <w:trHeight w:val="315"/>
        </w:trPr>
        <w:tc>
          <w:tcPr>
            <w:tcW w:w="2107" w:type="dxa"/>
            <w:noWrap/>
            <w:hideMark/>
          </w:tcPr>
          <w:p w14:paraId="41B3EF82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noWrap/>
            <w:hideMark/>
          </w:tcPr>
          <w:p w14:paraId="2EF8206D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</w:t>
            </w:r>
          </w:p>
        </w:tc>
        <w:tc>
          <w:tcPr>
            <w:tcW w:w="993" w:type="dxa"/>
            <w:noWrap/>
            <w:hideMark/>
          </w:tcPr>
          <w:p w14:paraId="0000B30B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416-0470</w:t>
            </w:r>
          </w:p>
        </w:tc>
        <w:tc>
          <w:tcPr>
            <w:tcW w:w="3013" w:type="dxa"/>
            <w:noWrap/>
            <w:hideMark/>
          </w:tcPr>
          <w:p w14:paraId="35E15E60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čerpání-převod zřizovateli</w:t>
            </w:r>
          </w:p>
        </w:tc>
        <w:tc>
          <w:tcPr>
            <w:tcW w:w="1466" w:type="dxa"/>
            <w:noWrap/>
            <w:hideMark/>
          </w:tcPr>
          <w:p w14:paraId="21EE5741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0,00</w:t>
            </w:r>
          </w:p>
        </w:tc>
      </w:tr>
      <w:tr w:rsidR="005E4ECF" w:rsidRPr="005E4ECF" w14:paraId="00C374F5" w14:textId="77777777" w:rsidTr="005F27BD">
        <w:trPr>
          <w:trHeight w:val="315"/>
        </w:trPr>
        <w:tc>
          <w:tcPr>
            <w:tcW w:w="6629" w:type="dxa"/>
            <w:gridSpan w:val="4"/>
            <w:noWrap/>
            <w:hideMark/>
          </w:tcPr>
          <w:p w14:paraId="4C65C87D" w14:textId="77777777" w:rsidR="005E4ECF" w:rsidRPr="005E4ECF" w:rsidRDefault="005E4ECF" w:rsidP="005E4E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Zůstatek k 31.12.2021 Fond investic</w:t>
            </w:r>
          </w:p>
        </w:tc>
        <w:tc>
          <w:tcPr>
            <w:tcW w:w="1466" w:type="dxa"/>
            <w:noWrap/>
            <w:hideMark/>
          </w:tcPr>
          <w:p w14:paraId="77C94E08" w14:textId="77777777" w:rsidR="005E4ECF" w:rsidRPr="005E4ECF" w:rsidRDefault="005E4ECF" w:rsidP="005E4EC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5E4EC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cs-CZ"/>
              </w:rPr>
              <w:t>117 864,70</w:t>
            </w:r>
          </w:p>
        </w:tc>
      </w:tr>
    </w:tbl>
    <w:p w14:paraId="51D97A1D" w14:textId="77777777" w:rsidR="00166384" w:rsidRDefault="00166384" w:rsidP="006E2EF7">
      <w:pPr>
        <w:rPr>
          <w:rFonts w:ascii="Times New Roman" w:hAnsi="Times New Roman" w:cs="Times New Roman"/>
          <w:b/>
          <w:sz w:val="20"/>
          <w:szCs w:val="20"/>
        </w:rPr>
      </w:pPr>
    </w:p>
    <w:p w14:paraId="7D7DA7C8" w14:textId="0B6C3928" w:rsidR="00BB6781" w:rsidRPr="00BB6781" w:rsidRDefault="00BB6781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Fond odměn 411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nebyl čerpán.</w:t>
      </w:r>
    </w:p>
    <w:p w14:paraId="28BD0255" w14:textId="10B4A72A" w:rsidR="00194283" w:rsidRPr="00194283" w:rsidRDefault="00194283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Fond kulturních a sociálních potřeb</w:t>
      </w:r>
      <w:r w:rsidR="00637E1A">
        <w:rPr>
          <w:rFonts w:ascii="Times New Roman" w:hAnsi="Times New Roman" w:cs="Times New Roman"/>
          <w:b/>
          <w:sz w:val="20"/>
          <w:szCs w:val="20"/>
        </w:rPr>
        <w:t xml:space="preserve"> 412 -</w:t>
      </w:r>
      <w:r>
        <w:rPr>
          <w:rFonts w:ascii="Times New Roman" w:hAnsi="Times New Roman" w:cs="Times New Roman"/>
          <w:bCs/>
          <w:sz w:val="20"/>
          <w:szCs w:val="20"/>
        </w:rPr>
        <w:t xml:space="preserve"> je financován 2 % z objemu mezd. Finanční prostředky na pokrytí tohoto fondu jdou z příspěvku poskytnutého z JMK.</w:t>
      </w:r>
    </w:p>
    <w:p w14:paraId="33BA57EC" w14:textId="77777777" w:rsidR="00BB6781" w:rsidRDefault="00BB6781" w:rsidP="00BB6781">
      <w:pPr>
        <w:rPr>
          <w:rFonts w:ascii="Times New Roman" w:hAnsi="Times New Roman" w:cs="Times New Roman"/>
          <w:bCs/>
          <w:sz w:val="20"/>
          <w:szCs w:val="20"/>
        </w:rPr>
      </w:pPr>
      <w:r w:rsidRPr="006F2751">
        <w:rPr>
          <w:rFonts w:ascii="Times New Roman" w:hAnsi="Times New Roman" w:cs="Times New Roman"/>
          <w:b/>
          <w:sz w:val="20"/>
          <w:szCs w:val="20"/>
        </w:rPr>
        <w:t>Rezervní fond 413</w:t>
      </w:r>
      <w:r w:rsidRPr="006F2751">
        <w:rPr>
          <w:rFonts w:ascii="Times New Roman" w:hAnsi="Times New Roman" w:cs="Times New Roman"/>
          <w:bCs/>
          <w:sz w:val="20"/>
          <w:szCs w:val="20"/>
        </w:rPr>
        <w:t xml:space="preserve"> – je rezervní fond, na který škola účtuje např. nedočerpanou dotaci na projekt OP VVV </w:t>
      </w:r>
      <w:r>
        <w:rPr>
          <w:rFonts w:ascii="Times New Roman" w:hAnsi="Times New Roman" w:cs="Times New Roman"/>
          <w:bCs/>
          <w:sz w:val="20"/>
          <w:szCs w:val="20"/>
        </w:rPr>
        <w:t>(734 547,00 Kč), která bude čerpána dle podmínek dotace v následujících letech. Také jsou zde zúčtovány přijaté dary, které budou dle účelu profinancovány v roce 2022 (např. dar na výuku „Zdravá záda“).</w:t>
      </w:r>
    </w:p>
    <w:p w14:paraId="43E07CCB" w14:textId="5258B534" w:rsidR="00194283" w:rsidRDefault="00194283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Rezervní fond </w:t>
      </w:r>
      <w:r w:rsidR="005B014A">
        <w:rPr>
          <w:rFonts w:ascii="Times New Roman" w:hAnsi="Times New Roman" w:cs="Times New Roman"/>
          <w:b/>
          <w:sz w:val="20"/>
          <w:szCs w:val="20"/>
        </w:rPr>
        <w:t xml:space="preserve">414 – </w:t>
      </w:r>
      <w:r w:rsidR="005B014A">
        <w:rPr>
          <w:rFonts w:ascii="Times New Roman" w:hAnsi="Times New Roman" w:cs="Times New Roman"/>
          <w:bCs/>
          <w:sz w:val="20"/>
          <w:szCs w:val="20"/>
        </w:rPr>
        <w:t>je fond, kde jsou evidovány zlepšené hospodářské výsledky minulých let. Právě na tento fond by škola ráda převedla zisk roku 2021 a dále z něj financovala výše potřebné požadavky.</w:t>
      </w:r>
    </w:p>
    <w:p w14:paraId="4DEABD2E" w14:textId="3F2C7DF6" w:rsidR="00BB6781" w:rsidRDefault="00BB6781" w:rsidP="006E2EF7">
      <w:pPr>
        <w:rPr>
          <w:rFonts w:ascii="Times New Roman" w:hAnsi="Times New Roman" w:cs="Times New Roman"/>
          <w:bCs/>
          <w:sz w:val="20"/>
          <w:szCs w:val="20"/>
        </w:rPr>
      </w:pPr>
      <w:r w:rsidRPr="00C73662">
        <w:rPr>
          <w:rFonts w:ascii="Times New Roman" w:hAnsi="Times New Roman" w:cs="Times New Roman"/>
          <w:b/>
          <w:sz w:val="20"/>
          <w:szCs w:val="20"/>
        </w:rPr>
        <w:t>Fond investic 416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je čtvrtletně </w:t>
      </w:r>
      <w:r w:rsidR="00C73662">
        <w:rPr>
          <w:rFonts w:ascii="Times New Roman" w:hAnsi="Times New Roman" w:cs="Times New Roman"/>
          <w:bCs/>
          <w:sz w:val="20"/>
          <w:szCs w:val="20"/>
        </w:rPr>
        <w:t>navyšován o částku odpovídající odpisům viz schválený odpisový plán.</w:t>
      </w:r>
    </w:p>
    <w:p w14:paraId="28E92321" w14:textId="2F6297A9" w:rsidR="008F16B9" w:rsidRPr="00D119CB" w:rsidRDefault="00D119CB" w:rsidP="006E2EF7">
      <w:pPr>
        <w:rPr>
          <w:rFonts w:ascii="Times New Roman" w:hAnsi="Times New Roman" w:cs="Times New Roman"/>
          <w:b/>
          <w:sz w:val="20"/>
          <w:szCs w:val="20"/>
        </w:rPr>
      </w:pPr>
      <w:r w:rsidRPr="00D119CB">
        <w:rPr>
          <w:rFonts w:ascii="Times New Roman" w:hAnsi="Times New Roman" w:cs="Times New Roman"/>
          <w:b/>
          <w:sz w:val="20"/>
          <w:szCs w:val="20"/>
        </w:rPr>
        <w:lastRenderedPageBreak/>
        <w:t>Finanční majetek</w:t>
      </w:r>
    </w:p>
    <w:p w14:paraId="74610AB4" w14:textId="71E188DF" w:rsidR="00D119CB" w:rsidRDefault="00D119CB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 31.12.2021 jsou evidovány následující konečné zůstatky na bankovních účtech:</w:t>
      </w:r>
    </w:p>
    <w:p w14:paraId="37E7BF9C" w14:textId="320478CE" w:rsidR="00D81210" w:rsidRDefault="00D119CB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Základní běžný účet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241 0100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481C9A">
        <w:rPr>
          <w:rFonts w:ascii="Times New Roman" w:hAnsi="Times New Roman" w:cs="Times New Roman"/>
          <w:bCs/>
          <w:sz w:val="20"/>
          <w:szCs w:val="20"/>
        </w:rPr>
        <w:t>4 307 445,07 Kč</w:t>
      </w:r>
    </w:p>
    <w:p w14:paraId="6935D84C" w14:textId="5FBB5DA5" w:rsidR="00481C9A" w:rsidRDefault="00D81210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Fond odměn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241 0150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60 000,00 Kč</w:t>
      </w:r>
    </w:p>
    <w:p w14:paraId="2E1532FF" w14:textId="5CFC8D08" w:rsidR="00D81210" w:rsidRDefault="00D81210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="003B25E9">
        <w:rPr>
          <w:rFonts w:ascii="Times New Roman" w:hAnsi="Times New Roman" w:cs="Times New Roman"/>
          <w:bCs/>
          <w:sz w:val="20"/>
          <w:szCs w:val="20"/>
        </w:rPr>
        <w:t>Investiční fond</w:t>
      </w:r>
      <w:r w:rsidR="003B25E9"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 w:rsidR="003B25E9">
        <w:rPr>
          <w:rFonts w:ascii="Times New Roman" w:hAnsi="Times New Roman" w:cs="Times New Roman"/>
          <w:bCs/>
          <w:sz w:val="20"/>
          <w:szCs w:val="20"/>
        </w:rPr>
        <w:t>241 160</w:t>
      </w:r>
      <w:r w:rsidR="003B25E9">
        <w:rPr>
          <w:rFonts w:ascii="Times New Roman" w:hAnsi="Times New Roman" w:cs="Times New Roman"/>
          <w:bCs/>
          <w:sz w:val="20"/>
          <w:szCs w:val="20"/>
        </w:rPr>
        <w:tab/>
      </w:r>
      <w:r w:rsidR="003B25E9">
        <w:rPr>
          <w:rFonts w:ascii="Times New Roman" w:hAnsi="Times New Roman" w:cs="Times New Roman"/>
          <w:bCs/>
          <w:sz w:val="20"/>
          <w:szCs w:val="20"/>
        </w:rPr>
        <w:tab/>
      </w:r>
      <w:r w:rsidR="003B25E9">
        <w:rPr>
          <w:rFonts w:ascii="Times New Roman" w:hAnsi="Times New Roman" w:cs="Times New Roman"/>
          <w:bCs/>
          <w:sz w:val="20"/>
          <w:szCs w:val="20"/>
        </w:rPr>
        <w:tab/>
      </w:r>
      <w:r w:rsidR="003B25E9">
        <w:rPr>
          <w:rFonts w:ascii="Times New Roman" w:hAnsi="Times New Roman" w:cs="Times New Roman"/>
          <w:bCs/>
          <w:sz w:val="20"/>
          <w:szCs w:val="20"/>
        </w:rPr>
        <w:tab/>
        <w:t>117 864,70 Kč</w:t>
      </w:r>
    </w:p>
    <w:p w14:paraId="7D8FDE20" w14:textId="33479A70" w:rsidR="003B25E9" w:rsidRDefault="003B25E9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>Rezervní fond</w:t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241 170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1 621 999,61 Kč</w:t>
      </w:r>
    </w:p>
    <w:p w14:paraId="43C8E05D" w14:textId="3A568C00" w:rsidR="003B25E9" w:rsidRDefault="003B25E9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Účty fondů jsou analyticky vedeny na hlavním účtem základní školy a odpovídají výši </w:t>
      </w:r>
      <w:r w:rsidR="006770E1">
        <w:rPr>
          <w:rFonts w:ascii="Times New Roman" w:hAnsi="Times New Roman" w:cs="Times New Roman"/>
          <w:bCs/>
          <w:sz w:val="20"/>
          <w:szCs w:val="20"/>
        </w:rPr>
        <w:t>zúčtovaných na fondech 411, 413, 414, 416.</w:t>
      </w:r>
    </w:p>
    <w:p w14:paraId="2545A5F5" w14:textId="0670DFD5" w:rsidR="006770E1" w:rsidRDefault="006C35C7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Účet FKSP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243 0100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780</w:t>
      </w:r>
      <w:r w:rsidR="00F86002">
        <w:rPr>
          <w:rFonts w:ascii="Times New Roman" w:hAnsi="Times New Roman" w:cs="Times New Roman"/>
          <w:bCs/>
          <w:sz w:val="20"/>
          <w:szCs w:val="20"/>
        </w:rPr>
        <w:t> 937,</w:t>
      </w:r>
      <w:r w:rsidR="00126867">
        <w:rPr>
          <w:rFonts w:ascii="Times New Roman" w:hAnsi="Times New Roman" w:cs="Times New Roman"/>
          <w:bCs/>
          <w:sz w:val="20"/>
          <w:szCs w:val="20"/>
        </w:rPr>
        <w:t>48 Kč</w:t>
      </w:r>
    </w:p>
    <w:p w14:paraId="1CD589CF" w14:textId="49E58D77" w:rsidR="00126867" w:rsidRDefault="00126867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Pokladna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261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91162">
        <w:rPr>
          <w:rFonts w:ascii="Times New Roman" w:hAnsi="Times New Roman" w:cs="Times New Roman"/>
          <w:bCs/>
          <w:sz w:val="20"/>
          <w:szCs w:val="20"/>
        </w:rPr>
        <w:t>36 815,00 Kč</w:t>
      </w:r>
    </w:p>
    <w:p w14:paraId="27C2D5CF" w14:textId="599F289A" w:rsidR="00C91162" w:rsidRDefault="00C91162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Pokladna FKSP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261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0,00 Kč</w:t>
      </w:r>
    </w:p>
    <w:p w14:paraId="3F21411A" w14:textId="1B1AC957" w:rsidR="00C91162" w:rsidRPr="003A5813" w:rsidRDefault="003A5813" w:rsidP="006E2EF7">
      <w:pPr>
        <w:rPr>
          <w:rFonts w:ascii="Times New Roman" w:hAnsi="Times New Roman" w:cs="Times New Roman"/>
          <w:b/>
          <w:sz w:val="20"/>
          <w:szCs w:val="20"/>
        </w:rPr>
      </w:pPr>
      <w:r w:rsidRPr="003A5813">
        <w:rPr>
          <w:rFonts w:ascii="Times New Roman" w:hAnsi="Times New Roman" w:cs="Times New Roman"/>
          <w:b/>
          <w:sz w:val="20"/>
          <w:szCs w:val="20"/>
        </w:rPr>
        <w:t>Pohledávky</w:t>
      </w:r>
    </w:p>
    <w:p w14:paraId="3FBBA5B1" w14:textId="58605773" w:rsidR="003A5813" w:rsidRDefault="000638D1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Odběratelé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311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0,00 Kč</w:t>
      </w:r>
    </w:p>
    <w:p w14:paraId="0862BCC4" w14:textId="6471C046" w:rsidR="000638D1" w:rsidRDefault="00437463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Krátkodobé poskytn</w:t>
      </w:r>
      <w:r w:rsidR="0033189C">
        <w:rPr>
          <w:rFonts w:ascii="Times New Roman" w:hAnsi="Times New Roman" w:cs="Times New Roman"/>
          <w:bCs/>
          <w:sz w:val="20"/>
          <w:szCs w:val="20"/>
        </w:rPr>
        <w:t>uté zálohy</w:t>
      </w:r>
      <w:r w:rsidR="0033189C">
        <w:rPr>
          <w:rFonts w:ascii="Times New Roman" w:hAnsi="Times New Roman" w:cs="Times New Roman"/>
          <w:bCs/>
          <w:sz w:val="20"/>
          <w:szCs w:val="20"/>
        </w:rPr>
        <w:tab/>
        <w:t>314</w:t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 w:rsidR="0033189C">
        <w:rPr>
          <w:rFonts w:ascii="Times New Roman" w:hAnsi="Times New Roman" w:cs="Times New Roman"/>
          <w:bCs/>
          <w:sz w:val="20"/>
          <w:szCs w:val="20"/>
        </w:rPr>
        <w:tab/>
      </w:r>
      <w:r w:rsidR="00FC163F">
        <w:rPr>
          <w:rFonts w:ascii="Times New Roman" w:hAnsi="Times New Roman" w:cs="Times New Roman"/>
          <w:bCs/>
          <w:sz w:val="20"/>
          <w:szCs w:val="20"/>
        </w:rPr>
        <w:t>104 566,14 Kč</w:t>
      </w:r>
    </w:p>
    <w:p w14:paraId="7AEA2760" w14:textId="6935AEF8" w:rsidR="00FC163F" w:rsidRDefault="00FC163F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Jiné pohledávky z HČ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315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27 930,00 Kč</w:t>
      </w:r>
    </w:p>
    <w:p w14:paraId="44A62DCE" w14:textId="7CEE013E" w:rsidR="002449A1" w:rsidRDefault="00A4745B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Evidované pohledávky jsou většinou ty, které se vyúčtovávají po skončení roku 2021. Jedná se o zaplacené zálohy na energie</w:t>
      </w:r>
      <w:r w:rsidR="007F2D22">
        <w:rPr>
          <w:rFonts w:ascii="Times New Roman" w:hAnsi="Times New Roman" w:cs="Times New Roman"/>
          <w:bCs/>
          <w:sz w:val="20"/>
          <w:szCs w:val="20"/>
        </w:rPr>
        <w:t>, zálohy provozních zaměstnanců k zajištění plynulého chodu a nutných nákupů.</w:t>
      </w:r>
    </w:p>
    <w:p w14:paraId="7CF2BA99" w14:textId="73A60F4F" w:rsidR="00CD0496" w:rsidRPr="002449A1" w:rsidRDefault="002449A1" w:rsidP="006E2EF7">
      <w:pPr>
        <w:rPr>
          <w:rFonts w:ascii="Times New Roman" w:hAnsi="Times New Roman" w:cs="Times New Roman"/>
          <w:b/>
          <w:sz w:val="20"/>
          <w:szCs w:val="20"/>
        </w:rPr>
      </w:pPr>
      <w:r w:rsidRPr="002449A1">
        <w:rPr>
          <w:rFonts w:ascii="Times New Roman" w:hAnsi="Times New Roman" w:cs="Times New Roman"/>
          <w:b/>
          <w:sz w:val="20"/>
          <w:szCs w:val="20"/>
        </w:rPr>
        <w:t>Závazky</w:t>
      </w:r>
    </w:p>
    <w:p w14:paraId="62E23780" w14:textId="54708D8A" w:rsidR="00FC163F" w:rsidRDefault="00F03B0D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Dodavatelé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321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>174 378,09 Kč</w:t>
      </w:r>
    </w:p>
    <w:p w14:paraId="3C190CB3" w14:textId="51B293CB" w:rsidR="00FC163F" w:rsidRDefault="00325A6E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Dohadné položky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A47F0E">
        <w:rPr>
          <w:rFonts w:ascii="Times New Roman" w:hAnsi="Times New Roman" w:cs="Times New Roman"/>
          <w:bCs/>
          <w:sz w:val="20"/>
          <w:szCs w:val="20"/>
        </w:rPr>
        <w:t>389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CD0496">
        <w:rPr>
          <w:rFonts w:ascii="Times New Roman" w:hAnsi="Times New Roman" w:cs="Times New Roman"/>
          <w:bCs/>
          <w:sz w:val="20"/>
          <w:szCs w:val="20"/>
        </w:rPr>
        <w:t>139 100,00 Kč</w:t>
      </w:r>
    </w:p>
    <w:p w14:paraId="4ADCBEB8" w14:textId="3AA48EC9" w:rsidR="007F2D22" w:rsidRDefault="007F2D22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Vybrané závazky jsou ty, které budou proúčtovány po skončení roku 2021. Byly vytvořeny dohadné položky na energie, které také budou proúčtovány následující období, ale časově souvisejí s rokem 2021.</w:t>
      </w:r>
    </w:p>
    <w:p w14:paraId="56C61DC2" w14:textId="19FF5B99" w:rsidR="00B4299D" w:rsidRDefault="007F2D22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Dále organizace eviduje předpisy mezd a s nimi související odvody na sociální a zdravotní pojištění, zálohovou daň a nevyúčtované stravné, které souvisí s jinými měsíci. Vše bude dorovnáno v období, kam časově </w:t>
      </w:r>
      <w:r w:rsidR="008C0EAD">
        <w:rPr>
          <w:rFonts w:ascii="Times New Roman" w:hAnsi="Times New Roman" w:cs="Times New Roman"/>
          <w:bCs/>
          <w:sz w:val="20"/>
          <w:szCs w:val="20"/>
        </w:rPr>
        <w:t>náleží</w:t>
      </w:r>
      <w:r>
        <w:rPr>
          <w:rFonts w:ascii="Times New Roman" w:hAnsi="Times New Roman" w:cs="Times New Roman"/>
          <w:bCs/>
          <w:sz w:val="20"/>
          <w:szCs w:val="20"/>
        </w:rPr>
        <w:t>, tzn. leden 2022</w:t>
      </w:r>
      <w:r w:rsidR="00AD2C85">
        <w:rPr>
          <w:rFonts w:ascii="Times New Roman" w:hAnsi="Times New Roman" w:cs="Times New Roman"/>
          <w:bCs/>
          <w:sz w:val="20"/>
          <w:szCs w:val="20"/>
        </w:rPr>
        <w:t>. Více informací viz Inventarizační zpráva, která je součástí tohoto dokumentu.</w:t>
      </w:r>
    </w:p>
    <w:p w14:paraId="56D6DD73" w14:textId="77777777" w:rsidR="00B31DE8" w:rsidRDefault="00B31D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E25AC3E" w14:textId="429E8811" w:rsidR="00CD0496" w:rsidRDefault="00303CF9" w:rsidP="006E2EF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Inventarizace</w:t>
      </w:r>
    </w:p>
    <w:p w14:paraId="57DEBF70" w14:textId="59938142" w:rsidR="00303CF9" w:rsidRPr="00303CF9" w:rsidRDefault="00303CF9" w:rsidP="006E2E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Inventarizace proběhla řádně, podklady byly řádně připraveny a ověřeny na skutečný stav členy inventarizační komise. Proběhla dle plánu inventur a ne</w:t>
      </w:r>
      <w:r w:rsidR="00CB003A">
        <w:rPr>
          <w:rFonts w:ascii="Times New Roman" w:hAnsi="Times New Roman" w:cs="Times New Roman"/>
          <w:bCs/>
          <w:sz w:val="20"/>
          <w:szCs w:val="20"/>
        </w:rPr>
        <w:t>byly zjištěny inventarizační rozdíly. Skutečný stav byl porovnán s účetním stavem majetku a závazků a ostatních inventarizačních položek.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826"/>
        <w:gridCol w:w="1779"/>
        <w:gridCol w:w="1694"/>
        <w:gridCol w:w="1768"/>
      </w:tblGrid>
      <w:tr w:rsidR="002B70D3" w:rsidRPr="000E771E" w14:paraId="3421998E" w14:textId="77777777" w:rsidTr="00636C9E">
        <w:trPr>
          <w:trHeight w:val="566"/>
        </w:trPr>
        <w:tc>
          <w:tcPr>
            <w:tcW w:w="1056" w:type="dxa"/>
            <w:shd w:val="clear" w:color="auto" w:fill="auto"/>
          </w:tcPr>
          <w:p w14:paraId="3CD71F78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  <w:p w14:paraId="23DF1BC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</w:p>
        </w:tc>
        <w:tc>
          <w:tcPr>
            <w:tcW w:w="1826" w:type="dxa"/>
            <w:shd w:val="clear" w:color="auto" w:fill="auto"/>
          </w:tcPr>
          <w:p w14:paraId="413A91A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F2185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Účetní stav</w:t>
            </w:r>
          </w:p>
        </w:tc>
        <w:tc>
          <w:tcPr>
            <w:tcW w:w="1779" w:type="dxa"/>
            <w:shd w:val="clear" w:color="auto" w:fill="auto"/>
          </w:tcPr>
          <w:p w14:paraId="289BD02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Dokladový, fyzický</w:t>
            </w:r>
          </w:p>
          <w:p w14:paraId="7C8DB518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stav</w:t>
            </w:r>
          </w:p>
        </w:tc>
        <w:tc>
          <w:tcPr>
            <w:tcW w:w="1694" w:type="dxa"/>
            <w:shd w:val="clear" w:color="auto" w:fill="auto"/>
          </w:tcPr>
          <w:p w14:paraId="636951C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Inventarizační</w:t>
            </w:r>
          </w:p>
          <w:p w14:paraId="5A7232A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rozdíl</w:t>
            </w:r>
          </w:p>
        </w:tc>
        <w:tc>
          <w:tcPr>
            <w:tcW w:w="1768" w:type="dxa"/>
            <w:shd w:val="clear" w:color="auto" w:fill="auto"/>
          </w:tcPr>
          <w:p w14:paraId="6A0E0CD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>Číslo inventarizačního</w:t>
            </w:r>
          </w:p>
          <w:p w14:paraId="380F0AE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soupisu </w:t>
            </w:r>
          </w:p>
        </w:tc>
      </w:tr>
      <w:tr w:rsidR="002B70D3" w:rsidRPr="000E771E" w14:paraId="522EE3EA" w14:textId="77777777" w:rsidTr="00636C9E">
        <w:tc>
          <w:tcPr>
            <w:tcW w:w="1056" w:type="dxa"/>
            <w:shd w:val="clear" w:color="auto" w:fill="auto"/>
          </w:tcPr>
          <w:p w14:paraId="080CB66E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1826" w:type="dxa"/>
            <w:shd w:val="clear" w:color="auto" w:fill="auto"/>
          </w:tcPr>
          <w:p w14:paraId="6ABF454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486 945,40</w:t>
            </w:r>
          </w:p>
        </w:tc>
        <w:tc>
          <w:tcPr>
            <w:tcW w:w="1779" w:type="dxa"/>
            <w:shd w:val="clear" w:color="auto" w:fill="auto"/>
          </w:tcPr>
          <w:p w14:paraId="46D1417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486 945,40</w:t>
            </w:r>
          </w:p>
        </w:tc>
        <w:tc>
          <w:tcPr>
            <w:tcW w:w="1694" w:type="dxa"/>
            <w:shd w:val="clear" w:color="auto" w:fill="auto"/>
          </w:tcPr>
          <w:p w14:paraId="64C8F3BA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68" w:type="dxa"/>
            <w:shd w:val="clear" w:color="auto" w:fill="auto"/>
          </w:tcPr>
          <w:p w14:paraId="0C3B18B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B70D3" w:rsidRPr="000E771E" w14:paraId="153E781C" w14:textId="77777777" w:rsidTr="00636C9E">
        <w:tc>
          <w:tcPr>
            <w:tcW w:w="1056" w:type="dxa"/>
            <w:shd w:val="clear" w:color="auto" w:fill="auto"/>
          </w:tcPr>
          <w:p w14:paraId="6BEA68E3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826" w:type="dxa"/>
            <w:shd w:val="clear" w:color="auto" w:fill="auto"/>
          </w:tcPr>
          <w:p w14:paraId="1AC6C75A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1 401 095,42</w:t>
            </w:r>
          </w:p>
        </w:tc>
        <w:tc>
          <w:tcPr>
            <w:tcW w:w="1779" w:type="dxa"/>
            <w:shd w:val="clear" w:color="auto" w:fill="auto"/>
          </w:tcPr>
          <w:p w14:paraId="56DA76F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1 401 095,42</w:t>
            </w:r>
          </w:p>
        </w:tc>
        <w:tc>
          <w:tcPr>
            <w:tcW w:w="1694" w:type="dxa"/>
            <w:shd w:val="clear" w:color="auto" w:fill="auto"/>
          </w:tcPr>
          <w:p w14:paraId="16131FE7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76BB948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B70D3" w:rsidRPr="000E771E" w14:paraId="6FBDDE89" w14:textId="77777777" w:rsidTr="00636C9E">
        <w:tc>
          <w:tcPr>
            <w:tcW w:w="1056" w:type="dxa"/>
            <w:shd w:val="clear" w:color="auto" w:fill="auto"/>
          </w:tcPr>
          <w:p w14:paraId="189274F5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  <w:tc>
          <w:tcPr>
            <w:tcW w:w="1826" w:type="dxa"/>
            <w:shd w:val="clear" w:color="auto" w:fill="auto"/>
          </w:tcPr>
          <w:p w14:paraId="459DA9FA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9 119 095,42</w:t>
            </w:r>
          </w:p>
        </w:tc>
        <w:tc>
          <w:tcPr>
            <w:tcW w:w="1779" w:type="dxa"/>
            <w:shd w:val="clear" w:color="auto" w:fill="auto"/>
          </w:tcPr>
          <w:p w14:paraId="4C8EC6E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9 119 908,19</w:t>
            </w:r>
          </w:p>
        </w:tc>
        <w:tc>
          <w:tcPr>
            <w:tcW w:w="1694" w:type="dxa"/>
            <w:shd w:val="clear" w:color="auto" w:fill="auto"/>
          </w:tcPr>
          <w:p w14:paraId="1C71085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3759166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028</w:t>
            </w:r>
          </w:p>
        </w:tc>
      </w:tr>
      <w:tr w:rsidR="002B70D3" w:rsidRPr="000E771E" w14:paraId="37C6ED0F" w14:textId="77777777" w:rsidTr="00636C9E">
        <w:tc>
          <w:tcPr>
            <w:tcW w:w="1056" w:type="dxa"/>
            <w:shd w:val="clear" w:color="auto" w:fill="auto"/>
          </w:tcPr>
          <w:p w14:paraId="620F1B8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  <w:tc>
          <w:tcPr>
            <w:tcW w:w="1826" w:type="dxa"/>
            <w:shd w:val="clear" w:color="auto" w:fill="auto"/>
          </w:tcPr>
          <w:p w14:paraId="78A05B0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870 152,50</w:t>
            </w:r>
          </w:p>
        </w:tc>
        <w:tc>
          <w:tcPr>
            <w:tcW w:w="1779" w:type="dxa"/>
            <w:shd w:val="clear" w:color="auto" w:fill="auto"/>
          </w:tcPr>
          <w:p w14:paraId="3AD0992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870 152,5</w:t>
            </w:r>
          </w:p>
        </w:tc>
        <w:tc>
          <w:tcPr>
            <w:tcW w:w="1694" w:type="dxa"/>
            <w:shd w:val="clear" w:color="auto" w:fill="auto"/>
          </w:tcPr>
          <w:p w14:paraId="6F90017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0295616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</w:t>
            </w:r>
          </w:p>
        </w:tc>
      </w:tr>
      <w:tr w:rsidR="002B70D3" w:rsidRPr="000E771E" w14:paraId="59B39EA1" w14:textId="77777777" w:rsidTr="00636C9E">
        <w:tc>
          <w:tcPr>
            <w:tcW w:w="1056" w:type="dxa"/>
            <w:shd w:val="clear" w:color="auto" w:fill="auto"/>
          </w:tcPr>
          <w:p w14:paraId="6581323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</w:p>
        </w:tc>
        <w:tc>
          <w:tcPr>
            <w:tcW w:w="1826" w:type="dxa"/>
            <w:shd w:val="clear" w:color="auto" w:fill="auto"/>
          </w:tcPr>
          <w:p w14:paraId="287049B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9 119 908,19</w:t>
            </w:r>
          </w:p>
        </w:tc>
        <w:tc>
          <w:tcPr>
            <w:tcW w:w="1779" w:type="dxa"/>
            <w:shd w:val="clear" w:color="auto" w:fill="auto"/>
          </w:tcPr>
          <w:p w14:paraId="76C7B961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9 119 908,19</w:t>
            </w:r>
          </w:p>
        </w:tc>
        <w:tc>
          <w:tcPr>
            <w:tcW w:w="1694" w:type="dxa"/>
            <w:shd w:val="clear" w:color="auto" w:fill="auto"/>
          </w:tcPr>
          <w:p w14:paraId="671FB34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62D7A2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</w:p>
        </w:tc>
      </w:tr>
      <w:tr w:rsidR="002B70D3" w:rsidRPr="000E771E" w14:paraId="5E077B89" w14:textId="77777777" w:rsidTr="00636C9E">
        <w:tc>
          <w:tcPr>
            <w:tcW w:w="1056" w:type="dxa"/>
            <w:shd w:val="clear" w:color="auto" w:fill="auto"/>
          </w:tcPr>
          <w:p w14:paraId="5AD96160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826" w:type="dxa"/>
            <w:shd w:val="clear" w:color="auto" w:fill="auto"/>
          </w:tcPr>
          <w:p w14:paraId="6079866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6 396 338,53</w:t>
            </w:r>
          </w:p>
        </w:tc>
        <w:tc>
          <w:tcPr>
            <w:tcW w:w="1779" w:type="dxa"/>
            <w:shd w:val="clear" w:color="auto" w:fill="auto"/>
          </w:tcPr>
          <w:p w14:paraId="3124FD4C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6 396 338,53</w:t>
            </w:r>
          </w:p>
        </w:tc>
        <w:tc>
          <w:tcPr>
            <w:tcW w:w="1694" w:type="dxa"/>
            <w:shd w:val="clear" w:color="auto" w:fill="auto"/>
          </w:tcPr>
          <w:p w14:paraId="7316201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32D9867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</w:tr>
      <w:tr w:rsidR="002B70D3" w:rsidRPr="000E771E" w14:paraId="2EA44DF6" w14:textId="77777777" w:rsidTr="00636C9E">
        <w:tc>
          <w:tcPr>
            <w:tcW w:w="1056" w:type="dxa"/>
            <w:shd w:val="clear" w:color="auto" w:fill="auto"/>
          </w:tcPr>
          <w:p w14:paraId="601B127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826" w:type="dxa"/>
            <w:shd w:val="clear" w:color="auto" w:fill="auto"/>
          </w:tcPr>
          <w:p w14:paraId="09A0DF1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780 937,48</w:t>
            </w:r>
          </w:p>
        </w:tc>
        <w:tc>
          <w:tcPr>
            <w:tcW w:w="1779" w:type="dxa"/>
            <w:shd w:val="clear" w:color="auto" w:fill="auto"/>
          </w:tcPr>
          <w:p w14:paraId="7B9C1A9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780 937,48</w:t>
            </w:r>
          </w:p>
        </w:tc>
        <w:tc>
          <w:tcPr>
            <w:tcW w:w="1694" w:type="dxa"/>
            <w:shd w:val="clear" w:color="auto" w:fill="auto"/>
          </w:tcPr>
          <w:p w14:paraId="2EB643B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2150AA5C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</w:tr>
      <w:tr w:rsidR="002B70D3" w:rsidRPr="000E771E" w14:paraId="4C598C28" w14:textId="77777777" w:rsidTr="00636C9E">
        <w:tc>
          <w:tcPr>
            <w:tcW w:w="1056" w:type="dxa"/>
            <w:shd w:val="clear" w:color="auto" w:fill="auto"/>
          </w:tcPr>
          <w:p w14:paraId="704F953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826" w:type="dxa"/>
            <w:shd w:val="clear" w:color="auto" w:fill="auto"/>
          </w:tcPr>
          <w:p w14:paraId="381CE17C" w14:textId="77777777" w:rsidR="002B70D3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12 200,00</w:t>
            </w:r>
          </w:p>
        </w:tc>
        <w:tc>
          <w:tcPr>
            <w:tcW w:w="1779" w:type="dxa"/>
            <w:shd w:val="clear" w:color="auto" w:fill="auto"/>
          </w:tcPr>
          <w:p w14:paraId="47031F00" w14:textId="77777777" w:rsidR="002B70D3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12 200,00</w:t>
            </w:r>
          </w:p>
        </w:tc>
        <w:tc>
          <w:tcPr>
            <w:tcW w:w="1694" w:type="dxa"/>
            <w:shd w:val="clear" w:color="auto" w:fill="auto"/>
          </w:tcPr>
          <w:p w14:paraId="5DC90B61" w14:textId="732D204F" w:rsidR="002B70D3" w:rsidRPr="000E771E" w:rsidRDefault="002B70D3" w:rsidP="002B70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04C673EA" w14:textId="0F8E7DA3" w:rsidR="002B70D3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2B70D3" w:rsidRPr="000E771E" w14:paraId="7D0D28BE" w14:textId="77777777" w:rsidTr="00636C9E">
        <w:tc>
          <w:tcPr>
            <w:tcW w:w="1056" w:type="dxa"/>
            <w:shd w:val="clear" w:color="auto" w:fill="auto"/>
          </w:tcPr>
          <w:p w14:paraId="2262C48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826" w:type="dxa"/>
            <w:shd w:val="clear" w:color="auto" w:fill="auto"/>
          </w:tcPr>
          <w:p w14:paraId="421B564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36 815,00</w:t>
            </w:r>
          </w:p>
        </w:tc>
        <w:tc>
          <w:tcPr>
            <w:tcW w:w="1779" w:type="dxa"/>
            <w:shd w:val="clear" w:color="auto" w:fill="auto"/>
          </w:tcPr>
          <w:p w14:paraId="2DC8A6D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36 815,00</w:t>
            </w:r>
          </w:p>
        </w:tc>
        <w:tc>
          <w:tcPr>
            <w:tcW w:w="1694" w:type="dxa"/>
            <w:shd w:val="clear" w:color="auto" w:fill="auto"/>
          </w:tcPr>
          <w:p w14:paraId="05B5A542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249180F6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</w:tr>
      <w:tr w:rsidR="002B70D3" w:rsidRPr="000E771E" w14:paraId="52AA56B7" w14:textId="77777777" w:rsidTr="00636C9E">
        <w:tc>
          <w:tcPr>
            <w:tcW w:w="1056" w:type="dxa"/>
            <w:shd w:val="clear" w:color="auto" w:fill="auto"/>
          </w:tcPr>
          <w:p w14:paraId="3D0DB6D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1826" w:type="dxa"/>
            <w:shd w:val="clear" w:color="auto" w:fill="auto"/>
          </w:tcPr>
          <w:p w14:paraId="522D5A8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104 566,14</w:t>
            </w:r>
          </w:p>
        </w:tc>
        <w:tc>
          <w:tcPr>
            <w:tcW w:w="1779" w:type="dxa"/>
            <w:shd w:val="clear" w:color="auto" w:fill="auto"/>
          </w:tcPr>
          <w:p w14:paraId="30F7053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104 566,14</w:t>
            </w:r>
          </w:p>
        </w:tc>
        <w:tc>
          <w:tcPr>
            <w:tcW w:w="1694" w:type="dxa"/>
            <w:shd w:val="clear" w:color="auto" w:fill="auto"/>
          </w:tcPr>
          <w:p w14:paraId="0F90322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29E1B35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2B70D3" w:rsidRPr="000E771E" w14:paraId="34DACCFA" w14:textId="77777777" w:rsidTr="00636C9E">
        <w:tc>
          <w:tcPr>
            <w:tcW w:w="1056" w:type="dxa"/>
            <w:shd w:val="clear" w:color="auto" w:fill="auto"/>
          </w:tcPr>
          <w:p w14:paraId="6BCD8E35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826" w:type="dxa"/>
            <w:shd w:val="clear" w:color="auto" w:fill="auto"/>
          </w:tcPr>
          <w:p w14:paraId="47D57E6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27 930,00</w:t>
            </w:r>
          </w:p>
        </w:tc>
        <w:tc>
          <w:tcPr>
            <w:tcW w:w="1779" w:type="dxa"/>
            <w:shd w:val="clear" w:color="auto" w:fill="auto"/>
          </w:tcPr>
          <w:p w14:paraId="645E94F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27 930,00</w:t>
            </w:r>
          </w:p>
        </w:tc>
        <w:tc>
          <w:tcPr>
            <w:tcW w:w="1694" w:type="dxa"/>
            <w:shd w:val="clear" w:color="auto" w:fill="auto"/>
          </w:tcPr>
          <w:p w14:paraId="1B85FBB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7E16342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2B70D3" w:rsidRPr="000E771E" w14:paraId="53B67008" w14:textId="77777777" w:rsidTr="00636C9E">
        <w:tc>
          <w:tcPr>
            <w:tcW w:w="1056" w:type="dxa"/>
            <w:shd w:val="clear" w:color="auto" w:fill="auto"/>
          </w:tcPr>
          <w:p w14:paraId="48F6576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26" w:type="dxa"/>
            <w:shd w:val="clear" w:color="auto" w:fill="auto"/>
          </w:tcPr>
          <w:p w14:paraId="2D8305CC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174 378,09</w:t>
            </w:r>
          </w:p>
        </w:tc>
        <w:tc>
          <w:tcPr>
            <w:tcW w:w="1779" w:type="dxa"/>
            <w:shd w:val="clear" w:color="auto" w:fill="auto"/>
          </w:tcPr>
          <w:p w14:paraId="1682299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174 378,09</w:t>
            </w:r>
          </w:p>
        </w:tc>
        <w:tc>
          <w:tcPr>
            <w:tcW w:w="1694" w:type="dxa"/>
            <w:shd w:val="clear" w:color="auto" w:fill="auto"/>
          </w:tcPr>
          <w:p w14:paraId="1A836951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3E6C16E0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2B70D3" w:rsidRPr="000E771E" w14:paraId="4F88A4D7" w14:textId="77777777" w:rsidTr="00636C9E">
        <w:tc>
          <w:tcPr>
            <w:tcW w:w="1056" w:type="dxa"/>
            <w:shd w:val="clear" w:color="auto" w:fill="auto"/>
          </w:tcPr>
          <w:p w14:paraId="18F4C8E3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826" w:type="dxa"/>
            <w:shd w:val="clear" w:color="auto" w:fill="auto"/>
          </w:tcPr>
          <w:p w14:paraId="01CB681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779" w:type="dxa"/>
            <w:shd w:val="clear" w:color="auto" w:fill="auto"/>
          </w:tcPr>
          <w:p w14:paraId="7365C42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694" w:type="dxa"/>
            <w:shd w:val="clear" w:color="auto" w:fill="auto"/>
          </w:tcPr>
          <w:p w14:paraId="2221E42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093BA07E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2B70D3" w:rsidRPr="000E771E" w14:paraId="290CAA57" w14:textId="77777777" w:rsidTr="00636C9E">
        <w:tc>
          <w:tcPr>
            <w:tcW w:w="1056" w:type="dxa"/>
            <w:shd w:val="clear" w:color="auto" w:fill="auto"/>
          </w:tcPr>
          <w:p w14:paraId="39ACDD7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826" w:type="dxa"/>
            <w:shd w:val="clear" w:color="auto" w:fill="auto"/>
          </w:tcPr>
          <w:p w14:paraId="37BA2BF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2 103 244,00</w:t>
            </w:r>
          </w:p>
        </w:tc>
        <w:tc>
          <w:tcPr>
            <w:tcW w:w="1779" w:type="dxa"/>
            <w:shd w:val="clear" w:color="auto" w:fill="auto"/>
          </w:tcPr>
          <w:p w14:paraId="7C34E8C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2 103 244,00</w:t>
            </w:r>
          </w:p>
        </w:tc>
        <w:tc>
          <w:tcPr>
            <w:tcW w:w="1694" w:type="dxa"/>
            <w:shd w:val="clear" w:color="auto" w:fill="auto"/>
          </w:tcPr>
          <w:p w14:paraId="14D43DB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2D517545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2B70D3" w:rsidRPr="000E771E" w14:paraId="3CF5184D" w14:textId="77777777" w:rsidTr="00636C9E">
        <w:tc>
          <w:tcPr>
            <w:tcW w:w="1056" w:type="dxa"/>
            <w:shd w:val="clear" w:color="auto" w:fill="auto"/>
          </w:tcPr>
          <w:p w14:paraId="65EF9003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826" w:type="dxa"/>
            <w:shd w:val="clear" w:color="auto" w:fill="auto"/>
          </w:tcPr>
          <w:p w14:paraId="3274BD1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24 549,00</w:t>
            </w:r>
          </w:p>
        </w:tc>
        <w:tc>
          <w:tcPr>
            <w:tcW w:w="1779" w:type="dxa"/>
            <w:shd w:val="clear" w:color="auto" w:fill="auto"/>
          </w:tcPr>
          <w:p w14:paraId="438650A7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24 549,00</w:t>
            </w:r>
          </w:p>
        </w:tc>
        <w:tc>
          <w:tcPr>
            <w:tcW w:w="1694" w:type="dxa"/>
            <w:shd w:val="clear" w:color="auto" w:fill="auto"/>
          </w:tcPr>
          <w:p w14:paraId="12D0ECD7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741AA33C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</w:tr>
      <w:tr w:rsidR="002B70D3" w:rsidRPr="000E771E" w14:paraId="3FC9BA17" w14:textId="77777777" w:rsidTr="00636C9E">
        <w:tc>
          <w:tcPr>
            <w:tcW w:w="1056" w:type="dxa"/>
            <w:shd w:val="clear" w:color="auto" w:fill="auto"/>
          </w:tcPr>
          <w:p w14:paraId="21B22435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826" w:type="dxa"/>
            <w:shd w:val="clear" w:color="auto" w:fill="auto"/>
          </w:tcPr>
          <w:p w14:paraId="4A23BDC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822 384,00</w:t>
            </w:r>
          </w:p>
        </w:tc>
        <w:tc>
          <w:tcPr>
            <w:tcW w:w="1779" w:type="dxa"/>
            <w:shd w:val="clear" w:color="auto" w:fill="auto"/>
          </w:tcPr>
          <w:p w14:paraId="583346F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822 384,00</w:t>
            </w:r>
          </w:p>
        </w:tc>
        <w:tc>
          <w:tcPr>
            <w:tcW w:w="1694" w:type="dxa"/>
            <w:shd w:val="clear" w:color="auto" w:fill="auto"/>
          </w:tcPr>
          <w:p w14:paraId="42355D5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144BECD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2B70D3" w:rsidRPr="000E771E" w14:paraId="4C1BDC06" w14:textId="77777777" w:rsidTr="00636C9E">
        <w:tc>
          <w:tcPr>
            <w:tcW w:w="1056" w:type="dxa"/>
            <w:shd w:val="clear" w:color="auto" w:fill="auto"/>
          </w:tcPr>
          <w:p w14:paraId="38F4D0DC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  <w:tc>
          <w:tcPr>
            <w:tcW w:w="1826" w:type="dxa"/>
            <w:shd w:val="clear" w:color="auto" w:fill="auto"/>
          </w:tcPr>
          <w:p w14:paraId="22FD4CDC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355 654,00</w:t>
            </w:r>
          </w:p>
        </w:tc>
        <w:tc>
          <w:tcPr>
            <w:tcW w:w="1779" w:type="dxa"/>
            <w:shd w:val="clear" w:color="auto" w:fill="auto"/>
          </w:tcPr>
          <w:p w14:paraId="6A7A4B97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355 654,00</w:t>
            </w:r>
          </w:p>
        </w:tc>
        <w:tc>
          <w:tcPr>
            <w:tcW w:w="1694" w:type="dxa"/>
            <w:shd w:val="clear" w:color="auto" w:fill="auto"/>
          </w:tcPr>
          <w:p w14:paraId="70B2DE7B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190E13D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</w:p>
        </w:tc>
      </w:tr>
      <w:tr w:rsidR="002B70D3" w:rsidRPr="000E771E" w14:paraId="49D0100A" w14:textId="77777777" w:rsidTr="00636C9E">
        <w:tc>
          <w:tcPr>
            <w:tcW w:w="1056" w:type="dxa"/>
            <w:shd w:val="clear" w:color="auto" w:fill="auto"/>
          </w:tcPr>
          <w:p w14:paraId="63D49F8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826" w:type="dxa"/>
            <w:shd w:val="clear" w:color="auto" w:fill="auto"/>
          </w:tcPr>
          <w:p w14:paraId="6EF8031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277 484,00</w:t>
            </w:r>
          </w:p>
        </w:tc>
        <w:tc>
          <w:tcPr>
            <w:tcW w:w="1779" w:type="dxa"/>
            <w:shd w:val="clear" w:color="auto" w:fill="auto"/>
          </w:tcPr>
          <w:p w14:paraId="3B9B3A0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277 484,00</w:t>
            </w:r>
          </w:p>
        </w:tc>
        <w:tc>
          <w:tcPr>
            <w:tcW w:w="1694" w:type="dxa"/>
            <w:shd w:val="clear" w:color="auto" w:fill="auto"/>
          </w:tcPr>
          <w:p w14:paraId="4D0F2DFC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5A6402E6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</w:tr>
      <w:tr w:rsidR="002B70D3" w:rsidRPr="000E771E" w14:paraId="20E5BEB0" w14:textId="77777777" w:rsidTr="00636C9E">
        <w:tc>
          <w:tcPr>
            <w:tcW w:w="1056" w:type="dxa"/>
            <w:shd w:val="clear" w:color="auto" w:fill="auto"/>
          </w:tcPr>
          <w:p w14:paraId="4E042B58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826" w:type="dxa"/>
            <w:shd w:val="clear" w:color="auto" w:fill="auto"/>
          </w:tcPr>
          <w:p w14:paraId="10FFB56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9" w:type="dxa"/>
            <w:shd w:val="clear" w:color="auto" w:fill="auto"/>
          </w:tcPr>
          <w:p w14:paraId="3CDEC92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94" w:type="dxa"/>
            <w:shd w:val="clear" w:color="auto" w:fill="auto"/>
          </w:tcPr>
          <w:p w14:paraId="49D7680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67BEE1B5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2B70D3" w:rsidRPr="000E771E" w14:paraId="70594DA4" w14:textId="77777777" w:rsidTr="00636C9E">
        <w:tc>
          <w:tcPr>
            <w:tcW w:w="1056" w:type="dxa"/>
            <w:shd w:val="clear" w:color="auto" w:fill="auto"/>
          </w:tcPr>
          <w:p w14:paraId="28D128ED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826" w:type="dxa"/>
            <w:shd w:val="clear" w:color="auto" w:fill="auto"/>
          </w:tcPr>
          <w:p w14:paraId="7B1BCE6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19 288,00</w:t>
            </w:r>
          </w:p>
        </w:tc>
        <w:tc>
          <w:tcPr>
            <w:tcW w:w="1779" w:type="dxa"/>
            <w:shd w:val="clear" w:color="auto" w:fill="auto"/>
          </w:tcPr>
          <w:p w14:paraId="74CA6277" w14:textId="77777777" w:rsidR="002B70D3" w:rsidRPr="000E771E" w:rsidRDefault="002B70D3" w:rsidP="00636C9E">
            <w:pPr>
              <w:tabs>
                <w:tab w:val="center" w:pos="781"/>
                <w:tab w:val="right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19 288,00</w:t>
            </w:r>
          </w:p>
        </w:tc>
        <w:tc>
          <w:tcPr>
            <w:tcW w:w="1694" w:type="dxa"/>
            <w:shd w:val="clear" w:color="auto" w:fill="auto"/>
          </w:tcPr>
          <w:p w14:paraId="133064A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291D9B2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</w:tr>
      <w:tr w:rsidR="002B70D3" w:rsidRPr="000E771E" w14:paraId="70A3221D" w14:textId="77777777" w:rsidTr="00636C9E">
        <w:tc>
          <w:tcPr>
            <w:tcW w:w="1056" w:type="dxa"/>
            <w:shd w:val="clear" w:color="auto" w:fill="auto"/>
          </w:tcPr>
          <w:p w14:paraId="4C0DFB19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826" w:type="dxa"/>
            <w:shd w:val="clear" w:color="auto" w:fill="auto"/>
          </w:tcPr>
          <w:p w14:paraId="4F66DDC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6 740,00</w:t>
            </w:r>
          </w:p>
        </w:tc>
        <w:tc>
          <w:tcPr>
            <w:tcW w:w="1779" w:type="dxa"/>
            <w:shd w:val="clear" w:color="auto" w:fill="auto"/>
          </w:tcPr>
          <w:p w14:paraId="3857D4A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6 740,00</w:t>
            </w:r>
          </w:p>
        </w:tc>
        <w:tc>
          <w:tcPr>
            <w:tcW w:w="1694" w:type="dxa"/>
            <w:shd w:val="clear" w:color="auto" w:fill="auto"/>
          </w:tcPr>
          <w:p w14:paraId="1C85893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9EEFE6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</w:tr>
      <w:tr w:rsidR="002B70D3" w:rsidRPr="000E771E" w14:paraId="2986630A" w14:textId="77777777" w:rsidTr="00636C9E">
        <w:tc>
          <w:tcPr>
            <w:tcW w:w="1056" w:type="dxa"/>
            <w:shd w:val="clear" w:color="auto" w:fill="auto"/>
          </w:tcPr>
          <w:p w14:paraId="3D60AB2C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826" w:type="dxa"/>
            <w:shd w:val="clear" w:color="auto" w:fill="auto"/>
          </w:tcPr>
          <w:p w14:paraId="40937B8B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188 969,00</w:t>
            </w:r>
          </w:p>
        </w:tc>
        <w:tc>
          <w:tcPr>
            <w:tcW w:w="1779" w:type="dxa"/>
            <w:shd w:val="clear" w:color="auto" w:fill="auto"/>
          </w:tcPr>
          <w:p w14:paraId="74F7650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188 969,00</w:t>
            </w:r>
          </w:p>
        </w:tc>
        <w:tc>
          <w:tcPr>
            <w:tcW w:w="1694" w:type="dxa"/>
            <w:shd w:val="clear" w:color="auto" w:fill="auto"/>
          </w:tcPr>
          <w:p w14:paraId="51EC909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7B73EE35" w14:textId="77777777" w:rsidR="002B70D3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  <w:tr w:rsidR="002B70D3" w:rsidRPr="000E771E" w14:paraId="0C02E990" w14:textId="77777777" w:rsidTr="00636C9E">
        <w:tc>
          <w:tcPr>
            <w:tcW w:w="1056" w:type="dxa"/>
            <w:shd w:val="clear" w:color="auto" w:fill="auto"/>
          </w:tcPr>
          <w:p w14:paraId="23922CC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1826" w:type="dxa"/>
            <w:shd w:val="clear" w:color="auto" w:fill="auto"/>
          </w:tcPr>
          <w:p w14:paraId="39CDC130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15 040,00</w:t>
            </w:r>
          </w:p>
        </w:tc>
        <w:tc>
          <w:tcPr>
            <w:tcW w:w="1779" w:type="dxa"/>
            <w:shd w:val="clear" w:color="auto" w:fill="auto"/>
          </w:tcPr>
          <w:p w14:paraId="25792CE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15 040,00</w:t>
            </w:r>
          </w:p>
        </w:tc>
        <w:tc>
          <w:tcPr>
            <w:tcW w:w="1694" w:type="dxa"/>
            <w:shd w:val="clear" w:color="auto" w:fill="auto"/>
          </w:tcPr>
          <w:p w14:paraId="34BD357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59B83CD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B70D3" w:rsidRPr="000E771E" w14:paraId="470016B6" w14:textId="77777777" w:rsidTr="00636C9E">
        <w:tc>
          <w:tcPr>
            <w:tcW w:w="1056" w:type="dxa"/>
            <w:shd w:val="clear" w:color="auto" w:fill="auto"/>
          </w:tcPr>
          <w:p w14:paraId="66C6EA8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826" w:type="dxa"/>
            <w:shd w:val="clear" w:color="auto" w:fill="auto"/>
          </w:tcPr>
          <w:p w14:paraId="782096EE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2 144 537,00</w:t>
            </w:r>
          </w:p>
        </w:tc>
        <w:tc>
          <w:tcPr>
            <w:tcW w:w="1779" w:type="dxa"/>
            <w:shd w:val="clear" w:color="auto" w:fill="auto"/>
          </w:tcPr>
          <w:p w14:paraId="154B30C2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2 144 537,00</w:t>
            </w:r>
          </w:p>
        </w:tc>
        <w:tc>
          <w:tcPr>
            <w:tcW w:w="1694" w:type="dxa"/>
            <w:shd w:val="clear" w:color="auto" w:fill="auto"/>
          </w:tcPr>
          <w:p w14:paraId="009A458B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396A886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2B70D3" w:rsidRPr="000E771E" w14:paraId="4AF94596" w14:textId="77777777" w:rsidTr="00636C9E">
        <w:tc>
          <w:tcPr>
            <w:tcW w:w="1056" w:type="dxa"/>
            <w:shd w:val="clear" w:color="auto" w:fill="auto"/>
          </w:tcPr>
          <w:p w14:paraId="69741F0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826" w:type="dxa"/>
            <w:shd w:val="clear" w:color="auto" w:fill="auto"/>
          </w:tcPr>
          <w:p w14:paraId="26D64FDE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139 100,00</w:t>
            </w:r>
          </w:p>
        </w:tc>
        <w:tc>
          <w:tcPr>
            <w:tcW w:w="1779" w:type="dxa"/>
            <w:shd w:val="clear" w:color="auto" w:fill="auto"/>
          </w:tcPr>
          <w:p w14:paraId="06C2BDB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139 100,00</w:t>
            </w:r>
          </w:p>
        </w:tc>
        <w:tc>
          <w:tcPr>
            <w:tcW w:w="1694" w:type="dxa"/>
            <w:shd w:val="clear" w:color="auto" w:fill="auto"/>
          </w:tcPr>
          <w:p w14:paraId="77F49C3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7E1A1DE1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</w:tr>
      <w:tr w:rsidR="002B70D3" w:rsidRPr="000E771E" w14:paraId="638FFC56" w14:textId="77777777" w:rsidTr="00636C9E">
        <w:tc>
          <w:tcPr>
            <w:tcW w:w="1056" w:type="dxa"/>
            <w:shd w:val="clear" w:color="auto" w:fill="auto"/>
          </w:tcPr>
          <w:p w14:paraId="57EF674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826" w:type="dxa"/>
            <w:shd w:val="clear" w:color="auto" w:fill="auto"/>
          </w:tcPr>
          <w:p w14:paraId="1659FC31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530 942,92</w:t>
            </w:r>
          </w:p>
        </w:tc>
        <w:tc>
          <w:tcPr>
            <w:tcW w:w="1779" w:type="dxa"/>
            <w:shd w:val="clear" w:color="auto" w:fill="auto"/>
          </w:tcPr>
          <w:p w14:paraId="152C9EC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530 942,92</w:t>
            </w:r>
          </w:p>
        </w:tc>
        <w:tc>
          <w:tcPr>
            <w:tcW w:w="1694" w:type="dxa"/>
            <w:shd w:val="clear" w:color="auto" w:fill="auto"/>
          </w:tcPr>
          <w:p w14:paraId="6BD3C38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36011BB0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2B70D3" w:rsidRPr="000E771E" w14:paraId="3FF3FA0A" w14:textId="77777777" w:rsidTr="00636C9E">
        <w:tc>
          <w:tcPr>
            <w:tcW w:w="1056" w:type="dxa"/>
            <w:shd w:val="clear" w:color="auto" w:fill="auto"/>
          </w:tcPr>
          <w:p w14:paraId="25D0616F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826" w:type="dxa"/>
            <w:shd w:val="clear" w:color="auto" w:fill="auto"/>
          </w:tcPr>
          <w:p w14:paraId="4636B245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779" w:type="dxa"/>
            <w:shd w:val="clear" w:color="auto" w:fill="auto"/>
          </w:tcPr>
          <w:p w14:paraId="3B61DDD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694" w:type="dxa"/>
            <w:shd w:val="clear" w:color="auto" w:fill="auto"/>
          </w:tcPr>
          <w:p w14:paraId="3487E2E9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5C18D6C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2B70D3" w:rsidRPr="000E771E" w14:paraId="7B541EA5" w14:textId="77777777" w:rsidTr="00636C9E">
        <w:tc>
          <w:tcPr>
            <w:tcW w:w="1056" w:type="dxa"/>
            <w:shd w:val="clear" w:color="auto" w:fill="auto"/>
          </w:tcPr>
          <w:p w14:paraId="0DCC2D80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826" w:type="dxa"/>
            <w:shd w:val="clear" w:color="auto" w:fill="auto"/>
          </w:tcPr>
          <w:p w14:paraId="6CFA2F22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799 300,48</w:t>
            </w:r>
          </w:p>
        </w:tc>
        <w:tc>
          <w:tcPr>
            <w:tcW w:w="1779" w:type="dxa"/>
            <w:shd w:val="clear" w:color="auto" w:fill="auto"/>
          </w:tcPr>
          <w:p w14:paraId="54EF2EE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799 300,48</w:t>
            </w:r>
          </w:p>
        </w:tc>
        <w:tc>
          <w:tcPr>
            <w:tcW w:w="1694" w:type="dxa"/>
            <w:shd w:val="clear" w:color="auto" w:fill="auto"/>
          </w:tcPr>
          <w:p w14:paraId="76E8126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0183272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2B70D3" w:rsidRPr="000E771E" w14:paraId="216B0974" w14:textId="77777777" w:rsidTr="00636C9E">
        <w:tc>
          <w:tcPr>
            <w:tcW w:w="1056" w:type="dxa"/>
            <w:shd w:val="clear" w:color="auto" w:fill="auto"/>
          </w:tcPr>
          <w:p w14:paraId="65289AF9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826" w:type="dxa"/>
            <w:shd w:val="clear" w:color="auto" w:fill="auto"/>
          </w:tcPr>
          <w:p w14:paraId="61CE262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723 168,46</w:t>
            </w:r>
          </w:p>
        </w:tc>
        <w:tc>
          <w:tcPr>
            <w:tcW w:w="1779" w:type="dxa"/>
            <w:shd w:val="clear" w:color="auto" w:fill="auto"/>
          </w:tcPr>
          <w:p w14:paraId="3C9BD036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723 168,46</w:t>
            </w:r>
          </w:p>
        </w:tc>
        <w:tc>
          <w:tcPr>
            <w:tcW w:w="1694" w:type="dxa"/>
            <w:shd w:val="clear" w:color="auto" w:fill="auto"/>
          </w:tcPr>
          <w:p w14:paraId="408F7A1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5B4C83D9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2B70D3" w:rsidRPr="000E771E" w14:paraId="76A2FA5B" w14:textId="77777777" w:rsidTr="00636C9E">
        <w:tc>
          <w:tcPr>
            <w:tcW w:w="1056" w:type="dxa"/>
            <w:shd w:val="clear" w:color="auto" w:fill="auto"/>
          </w:tcPr>
          <w:p w14:paraId="22567704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826" w:type="dxa"/>
            <w:shd w:val="clear" w:color="auto" w:fill="auto"/>
          </w:tcPr>
          <w:p w14:paraId="6A20A00E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898 831,15</w:t>
            </w:r>
          </w:p>
        </w:tc>
        <w:tc>
          <w:tcPr>
            <w:tcW w:w="1779" w:type="dxa"/>
            <w:shd w:val="clear" w:color="auto" w:fill="auto"/>
          </w:tcPr>
          <w:p w14:paraId="00A91D7E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898 831,15</w:t>
            </w:r>
          </w:p>
        </w:tc>
        <w:tc>
          <w:tcPr>
            <w:tcW w:w="1694" w:type="dxa"/>
            <w:shd w:val="clear" w:color="auto" w:fill="auto"/>
          </w:tcPr>
          <w:p w14:paraId="72DD2D8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2A28B48B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2B70D3" w:rsidRPr="000E771E" w14:paraId="02A52FF6" w14:textId="77777777" w:rsidTr="00636C9E">
        <w:tc>
          <w:tcPr>
            <w:tcW w:w="1056" w:type="dxa"/>
            <w:shd w:val="clear" w:color="auto" w:fill="auto"/>
          </w:tcPr>
          <w:p w14:paraId="656B684C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1826" w:type="dxa"/>
            <w:shd w:val="clear" w:color="auto" w:fill="auto"/>
          </w:tcPr>
          <w:p w14:paraId="648D1388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117 864,70</w:t>
            </w:r>
          </w:p>
        </w:tc>
        <w:tc>
          <w:tcPr>
            <w:tcW w:w="1779" w:type="dxa"/>
            <w:shd w:val="clear" w:color="auto" w:fill="auto"/>
          </w:tcPr>
          <w:p w14:paraId="13334624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117 864,70</w:t>
            </w:r>
          </w:p>
        </w:tc>
        <w:tc>
          <w:tcPr>
            <w:tcW w:w="1694" w:type="dxa"/>
            <w:shd w:val="clear" w:color="auto" w:fill="auto"/>
          </w:tcPr>
          <w:p w14:paraId="31167E9D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70414F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2B70D3" w:rsidRPr="000E771E" w14:paraId="09E797DD" w14:textId="77777777" w:rsidTr="00636C9E">
        <w:tc>
          <w:tcPr>
            <w:tcW w:w="1056" w:type="dxa"/>
            <w:shd w:val="clear" w:color="auto" w:fill="auto"/>
          </w:tcPr>
          <w:p w14:paraId="73C8441A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1826" w:type="dxa"/>
            <w:shd w:val="clear" w:color="auto" w:fill="auto"/>
          </w:tcPr>
          <w:p w14:paraId="64E9951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2 144 537,00</w:t>
            </w:r>
          </w:p>
        </w:tc>
        <w:tc>
          <w:tcPr>
            <w:tcW w:w="1779" w:type="dxa"/>
            <w:shd w:val="clear" w:color="auto" w:fill="auto"/>
          </w:tcPr>
          <w:p w14:paraId="7008EF03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2 144 537,00</w:t>
            </w:r>
          </w:p>
        </w:tc>
        <w:tc>
          <w:tcPr>
            <w:tcW w:w="1694" w:type="dxa"/>
            <w:shd w:val="clear" w:color="auto" w:fill="auto"/>
          </w:tcPr>
          <w:p w14:paraId="21C6429F" w14:textId="77777777" w:rsidR="002B70D3" w:rsidRPr="000E771E" w:rsidRDefault="002B70D3" w:rsidP="00636C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E771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68" w:type="dxa"/>
            <w:shd w:val="clear" w:color="auto" w:fill="auto"/>
          </w:tcPr>
          <w:p w14:paraId="4DF6A367" w14:textId="77777777" w:rsidR="002B70D3" w:rsidRPr="000E771E" w:rsidRDefault="002B70D3" w:rsidP="0063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</w:tr>
    </w:tbl>
    <w:p w14:paraId="5F57CA9F" w14:textId="253D7D7F" w:rsidR="00A47F0E" w:rsidRDefault="00A47F0E" w:rsidP="006E2EF7">
      <w:pPr>
        <w:rPr>
          <w:rFonts w:ascii="Times New Roman" w:hAnsi="Times New Roman" w:cs="Times New Roman"/>
          <w:bCs/>
          <w:sz w:val="20"/>
          <w:szCs w:val="20"/>
        </w:rPr>
      </w:pPr>
    </w:p>
    <w:p w14:paraId="43044249" w14:textId="48F12290" w:rsidR="002B70D3" w:rsidRDefault="002B70D3" w:rsidP="006E2EF7">
      <w:pPr>
        <w:rPr>
          <w:rFonts w:ascii="Times New Roman" w:hAnsi="Times New Roman" w:cs="Times New Roman"/>
          <w:bCs/>
          <w:sz w:val="20"/>
          <w:szCs w:val="20"/>
        </w:rPr>
      </w:pPr>
    </w:p>
    <w:p w14:paraId="65C7D4BD" w14:textId="77777777" w:rsidR="00785783" w:rsidRDefault="00785783" w:rsidP="006E2EF7">
      <w:pPr>
        <w:rPr>
          <w:rFonts w:ascii="Times New Roman" w:hAnsi="Times New Roman" w:cs="Times New Roman"/>
          <w:bCs/>
          <w:sz w:val="20"/>
          <w:szCs w:val="20"/>
        </w:rPr>
      </w:pPr>
    </w:p>
    <w:p w14:paraId="34847438" w14:textId="7CC4DDBB" w:rsidR="005E4ECF" w:rsidRDefault="00785783" w:rsidP="00B31DE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…..</w:t>
      </w:r>
      <w:r w:rsidR="00B31DE8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</w:p>
    <w:p w14:paraId="33E3BD88" w14:textId="277B4386" w:rsidR="00785783" w:rsidRDefault="00785783" w:rsidP="00785783">
      <w:pPr>
        <w:tabs>
          <w:tab w:val="left" w:pos="7005"/>
          <w:tab w:val="left" w:pos="7995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Mgr. Jiří Půček</w:t>
      </w:r>
    </w:p>
    <w:p w14:paraId="4F8169E8" w14:textId="0126EDD7" w:rsidR="00785783" w:rsidRPr="00785783" w:rsidRDefault="00785783" w:rsidP="00785783">
      <w:pPr>
        <w:tabs>
          <w:tab w:val="left" w:pos="7005"/>
          <w:tab w:val="left" w:pos="7995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Zpracovala: Ing. Simona Jelínková, ekonom</w:t>
      </w:r>
    </w:p>
    <w:sectPr w:rsidR="00785783" w:rsidRPr="007857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5C47" w14:textId="77777777" w:rsidR="006C3256" w:rsidRDefault="006C3256" w:rsidP="006C3256">
      <w:pPr>
        <w:spacing w:after="0" w:line="240" w:lineRule="auto"/>
      </w:pPr>
      <w:r>
        <w:separator/>
      </w:r>
    </w:p>
  </w:endnote>
  <w:endnote w:type="continuationSeparator" w:id="0">
    <w:p w14:paraId="479867CB" w14:textId="77777777" w:rsidR="006C3256" w:rsidRDefault="006C3256" w:rsidP="006C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FBB1" w14:textId="77777777" w:rsidR="006C3256" w:rsidRDefault="006C3256" w:rsidP="006C3256">
      <w:pPr>
        <w:spacing w:after="0" w:line="240" w:lineRule="auto"/>
      </w:pPr>
      <w:r>
        <w:separator/>
      </w:r>
    </w:p>
  </w:footnote>
  <w:footnote w:type="continuationSeparator" w:id="0">
    <w:p w14:paraId="37B43F99" w14:textId="77777777" w:rsidR="006C3256" w:rsidRDefault="006C3256" w:rsidP="006C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95F" w14:textId="24A7FBC2" w:rsidR="006C3256" w:rsidRPr="004B5609" w:rsidRDefault="006C3256" w:rsidP="006C3256">
    <w:pPr>
      <w:spacing w:after="0" w:line="240" w:lineRule="auto"/>
      <w:jc w:val="center"/>
      <w:rPr>
        <w:rFonts w:ascii="Times New Roman" w:hAnsi="Times New Roman" w:cs="Times New Roman"/>
        <w:sz w:val="40"/>
        <w:szCs w:val="40"/>
      </w:rPr>
    </w:pPr>
    <w:r w:rsidRPr="004B5609">
      <w:rPr>
        <w:rFonts w:ascii="Times New Roman" w:hAnsi="Times New Roman" w:cs="Times New Roman"/>
        <w:noProof/>
        <w:sz w:val="40"/>
        <w:szCs w:val="40"/>
        <w:lang w:eastAsia="cs-CZ"/>
      </w:rPr>
      <w:drawing>
        <wp:anchor distT="0" distB="0" distL="114300" distR="114300" simplePos="0" relativeHeight="251658240" behindDoc="0" locked="0" layoutInCell="1" allowOverlap="1" wp14:anchorId="0CF74345" wp14:editId="04DC6DC2">
          <wp:simplePos x="0" y="0"/>
          <wp:positionH relativeFrom="margin">
            <wp:posOffset>0</wp:posOffset>
          </wp:positionH>
          <wp:positionV relativeFrom="paragraph">
            <wp:posOffset>-17780</wp:posOffset>
          </wp:positionV>
          <wp:extent cx="1050925" cy="6883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DAA">
      <w:rPr>
        <w:rFonts w:ascii="Times New Roman" w:hAnsi="Times New Roman" w:cs="Times New Roman"/>
        <w:sz w:val="40"/>
        <w:szCs w:val="40"/>
      </w:rPr>
      <w:t xml:space="preserve">         </w:t>
    </w:r>
    <w:r w:rsidRPr="004B5609">
      <w:rPr>
        <w:rFonts w:ascii="Times New Roman" w:hAnsi="Times New Roman" w:cs="Times New Roman"/>
        <w:sz w:val="40"/>
        <w:szCs w:val="40"/>
      </w:rPr>
      <w:t>Základní škola Tyršova Slavkov u Brna,</w:t>
    </w:r>
  </w:p>
  <w:p w14:paraId="4364826F" w14:textId="77777777" w:rsidR="006C3256" w:rsidRPr="004B5609" w:rsidRDefault="006C3256" w:rsidP="006C3256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příspěvková organizace</w:t>
    </w:r>
  </w:p>
  <w:p w14:paraId="01ECBCC3" w14:textId="77777777" w:rsidR="006C3256" w:rsidRPr="004B5609" w:rsidRDefault="006C3256" w:rsidP="006C3256">
    <w:pPr>
      <w:spacing w:after="0" w:line="240" w:lineRule="auto"/>
      <w:ind w:leftChars="25" w:left="55"/>
      <w:jc w:val="center"/>
      <w:rPr>
        <w:rFonts w:ascii="Times New Roman" w:hAnsi="Times New Roman" w:cs="Times New Roman"/>
        <w:spacing w:val="11"/>
      </w:rPr>
    </w:pPr>
    <w:r w:rsidRPr="004B5609">
      <w:rPr>
        <w:rFonts w:ascii="Times New Roman" w:hAnsi="Times New Roman" w:cs="Times New Roman"/>
        <w:spacing w:val="11"/>
      </w:rPr>
      <w:t xml:space="preserve">684 01 Slavkov u Brna, </w:t>
    </w:r>
    <w:r>
      <w:rPr>
        <w:rFonts w:ascii="Times New Roman" w:hAnsi="Times New Roman" w:cs="Times New Roman"/>
        <w:spacing w:val="11"/>
      </w:rPr>
      <w:t>Tyršova 977</w:t>
    </w:r>
    <w:r w:rsidRPr="004B5609">
      <w:rPr>
        <w:rFonts w:ascii="Times New Roman" w:hAnsi="Times New Roman" w:cs="Times New Roman"/>
        <w:spacing w:val="11"/>
        <w:sz w:val="16"/>
        <w:szCs w:val="16"/>
      </w:rPr>
      <w:t>,</w:t>
    </w:r>
    <w:r w:rsidRPr="004B5609">
      <w:rPr>
        <w:rFonts w:ascii="Times New Roman" w:hAnsi="Times New Roman" w:cs="Times New Roman"/>
        <w:spacing w:val="11"/>
      </w:rPr>
      <w:t xml:space="preserve"> IČ: 462</w:t>
    </w:r>
    <w:r>
      <w:rPr>
        <w:rFonts w:ascii="Times New Roman" w:hAnsi="Times New Roman" w:cs="Times New Roman"/>
        <w:spacing w:val="11"/>
      </w:rPr>
      <w:t xml:space="preserve"> </w:t>
    </w:r>
    <w:r w:rsidRPr="004B5609">
      <w:rPr>
        <w:rFonts w:ascii="Times New Roman" w:hAnsi="Times New Roman" w:cs="Times New Roman"/>
        <w:spacing w:val="11"/>
      </w:rPr>
      <w:t>70</w:t>
    </w:r>
    <w:r>
      <w:rPr>
        <w:rFonts w:ascii="Times New Roman" w:hAnsi="Times New Roman" w:cs="Times New Roman"/>
        <w:spacing w:val="11"/>
      </w:rPr>
      <w:t xml:space="preserve"> </w:t>
    </w:r>
    <w:r w:rsidRPr="004B5609">
      <w:rPr>
        <w:rFonts w:ascii="Times New Roman" w:hAnsi="Times New Roman" w:cs="Times New Roman"/>
        <w:spacing w:val="11"/>
      </w:rPr>
      <w:t>949</w:t>
    </w:r>
  </w:p>
  <w:p w14:paraId="72122F8C" w14:textId="77777777" w:rsidR="006C3256" w:rsidRPr="004B5609" w:rsidRDefault="006C3256" w:rsidP="006C3256">
    <w:pPr>
      <w:spacing w:beforeLines="25" w:before="60" w:after="0" w:line="240" w:lineRule="auto"/>
      <w:jc w:val="center"/>
      <w:rPr>
        <w:rFonts w:ascii="Times New Roman" w:hAnsi="Times New Roman" w:cs="Times New Roman"/>
        <w:spacing w:val="4"/>
        <w:sz w:val="16"/>
        <w:szCs w:val="16"/>
      </w:rPr>
    </w:pPr>
    <w:r w:rsidRPr="004B5609">
      <w:rPr>
        <w:rFonts w:ascii="Times New Roman" w:hAnsi="Times New Roman" w:cs="Times New Roman"/>
        <w:spacing w:val="4"/>
        <w:sz w:val="16"/>
        <w:szCs w:val="16"/>
      </w:rPr>
      <w:t xml:space="preserve">tel.: 544 221 113, 544 221 595, e-mail: ekonom@zsslavkov.cz, web: http://www.zsslavkov.cz </w:t>
    </w:r>
    <w:r>
      <w:rPr>
        <w:rFonts w:ascii="Times New Roman" w:hAnsi="Times New Roman" w:cs="Times New Roman"/>
        <w:spacing w:val="4"/>
        <w:sz w:val="16"/>
        <w:szCs w:val="16"/>
      </w:rPr>
      <w:t xml:space="preserve">                    </w:t>
    </w:r>
    <w:r w:rsidRPr="004B5609">
      <w:rPr>
        <w:rFonts w:ascii="Times New Roman" w:hAnsi="Times New Roman" w:cs="Times New Roman"/>
        <w:spacing w:val="4"/>
        <w:sz w:val="16"/>
        <w:szCs w:val="16"/>
      </w:rPr>
      <w:t>_______________________________________________________________________________________________</w:t>
    </w:r>
  </w:p>
  <w:p w14:paraId="3EB6FC3B" w14:textId="77777777" w:rsidR="006C3256" w:rsidRDefault="006C3256" w:rsidP="006C3256">
    <w:pPr>
      <w:spacing w:line="24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FE1"/>
    <w:multiLevelType w:val="hybridMultilevel"/>
    <w:tmpl w:val="FE14D2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07210"/>
    <w:multiLevelType w:val="hybridMultilevel"/>
    <w:tmpl w:val="267824CA"/>
    <w:lvl w:ilvl="0" w:tplc="86469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43C3D"/>
    <w:multiLevelType w:val="multilevel"/>
    <w:tmpl w:val="728604A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3" w15:restartNumberingAfterBreak="0">
    <w:nsid w:val="3B586CF4"/>
    <w:multiLevelType w:val="hybridMultilevel"/>
    <w:tmpl w:val="11567A96"/>
    <w:lvl w:ilvl="0" w:tplc="1EF05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44C0"/>
    <w:multiLevelType w:val="hybridMultilevel"/>
    <w:tmpl w:val="5F10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055C"/>
    <w:multiLevelType w:val="multilevel"/>
    <w:tmpl w:val="A89AAEEA"/>
    <w:styleLink w:val="WW8Num5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7B1D5714"/>
    <w:multiLevelType w:val="hybridMultilevel"/>
    <w:tmpl w:val="38C09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561"/>
    <w:rsid w:val="00004BAE"/>
    <w:rsid w:val="000222FF"/>
    <w:rsid w:val="000440D0"/>
    <w:rsid w:val="000552B7"/>
    <w:rsid w:val="000638D1"/>
    <w:rsid w:val="00067838"/>
    <w:rsid w:val="00084178"/>
    <w:rsid w:val="000B60B0"/>
    <w:rsid w:val="000C67A2"/>
    <w:rsid w:val="000E16AF"/>
    <w:rsid w:val="000E4639"/>
    <w:rsid w:val="000F20B8"/>
    <w:rsid w:val="0011309A"/>
    <w:rsid w:val="00126867"/>
    <w:rsid w:val="0015372D"/>
    <w:rsid w:val="001658CC"/>
    <w:rsid w:val="00166384"/>
    <w:rsid w:val="00170C8A"/>
    <w:rsid w:val="00173811"/>
    <w:rsid w:val="00187358"/>
    <w:rsid w:val="00194283"/>
    <w:rsid w:val="001946C8"/>
    <w:rsid w:val="001B7789"/>
    <w:rsid w:val="001D7FBD"/>
    <w:rsid w:val="00203B5F"/>
    <w:rsid w:val="00205C4F"/>
    <w:rsid w:val="002075E3"/>
    <w:rsid w:val="002417C0"/>
    <w:rsid w:val="002449A1"/>
    <w:rsid w:val="002672D2"/>
    <w:rsid w:val="00273B40"/>
    <w:rsid w:val="00281147"/>
    <w:rsid w:val="002877A0"/>
    <w:rsid w:val="002941F8"/>
    <w:rsid w:val="002B70D3"/>
    <w:rsid w:val="002D6EC2"/>
    <w:rsid w:val="002F1DBA"/>
    <w:rsid w:val="00303CF9"/>
    <w:rsid w:val="00325A6E"/>
    <w:rsid w:val="0033189C"/>
    <w:rsid w:val="00333021"/>
    <w:rsid w:val="00336FFC"/>
    <w:rsid w:val="00341500"/>
    <w:rsid w:val="00353243"/>
    <w:rsid w:val="003569F4"/>
    <w:rsid w:val="003652E1"/>
    <w:rsid w:val="003A32B4"/>
    <w:rsid w:val="003A5813"/>
    <w:rsid w:val="003A75E7"/>
    <w:rsid w:val="003B25E9"/>
    <w:rsid w:val="003D56CD"/>
    <w:rsid w:val="003D6F12"/>
    <w:rsid w:val="003E1874"/>
    <w:rsid w:val="003F2576"/>
    <w:rsid w:val="003F3603"/>
    <w:rsid w:val="003F57D7"/>
    <w:rsid w:val="004346EF"/>
    <w:rsid w:val="00437463"/>
    <w:rsid w:val="00457A44"/>
    <w:rsid w:val="00473DA6"/>
    <w:rsid w:val="00481C9A"/>
    <w:rsid w:val="00487DCE"/>
    <w:rsid w:val="00495DAA"/>
    <w:rsid w:val="004B38F9"/>
    <w:rsid w:val="004C6759"/>
    <w:rsid w:val="004D028F"/>
    <w:rsid w:val="004E09AD"/>
    <w:rsid w:val="004F1C11"/>
    <w:rsid w:val="005352DB"/>
    <w:rsid w:val="00541A98"/>
    <w:rsid w:val="0054772F"/>
    <w:rsid w:val="00554A1F"/>
    <w:rsid w:val="00557D93"/>
    <w:rsid w:val="00560470"/>
    <w:rsid w:val="0056167A"/>
    <w:rsid w:val="00574A93"/>
    <w:rsid w:val="005852D8"/>
    <w:rsid w:val="00586E0A"/>
    <w:rsid w:val="005900F6"/>
    <w:rsid w:val="005B014A"/>
    <w:rsid w:val="005B2814"/>
    <w:rsid w:val="005E11F9"/>
    <w:rsid w:val="005E1D9D"/>
    <w:rsid w:val="005E4ECF"/>
    <w:rsid w:val="005F1D0C"/>
    <w:rsid w:val="005F2716"/>
    <w:rsid w:val="005F27BD"/>
    <w:rsid w:val="005F2B8B"/>
    <w:rsid w:val="006034D4"/>
    <w:rsid w:val="00637E1A"/>
    <w:rsid w:val="0064581E"/>
    <w:rsid w:val="00654561"/>
    <w:rsid w:val="00662E2C"/>
    <w:rsid w:val="006770E1"/>
    <w:rsid w:val="00684831"/>
    <w:rsid w:val="006B7A77"/>
    <w:rsid w:val="006C3256"/>
    <w:rsid w:val="006C35C7"/>
    <w:rsid w:val="006D1072"/>
    <w:rsid w:val="006D2B45"/>
    <w:rsid w:val="006E1799"/>
    <w:rsid w:val="006E2EF7"/>
    <w:rsid w:val="006F2751"/>
    <w:rsid w:val="00703B89"/>
    <w:rsid w:val="00711E3A"/>
    <w:rsid w:val="00722295"/>
    <w:rsid w:val="00722F68"/>
    <w:rsid w:val="0072495A"/>
    <w:rsid w:val="00727E6A"/>
    <w:rsid w:val="00735204"/>
    <w:rsid w:val="00743BF0"/>
    <w:rsid w:val="00756FF6"/>
    <w:rsid w:val="00767C3B"/>
    <w:rsid w:val="007777F0"/>
    <w:rsid w:val="00785783"/>
    <w:rsid w:val="007942C5"/>
    <w:rsid w:val="007B5432"/>
    <w:rsid w:val="007C1F91"/>
    <w:rsid w:val="007C24F2"/>
    <w:rsid w:val="007D44F1"/>
    <w:rsid w:val="007E2FF5"/>
    <w:rsid w:val="007E59A8"/>
    <w:rsid w:val="007F2D22"/>
    <w:rsid w:val="008113F4"/>
    <w:rsid w:val="00814958"/>
    <w:rsid w:val="00815298"/>
    <w:rsid w:val="00816AB1"/>
    <w:rsid w:val="008274E2"/>
    <w:rsid w:val="00833831"/>
    <w:rsid w:val="00841863"/>
    <w:rsid w:val="00841E8E"/>
    <w:rsid w:val="00853022"/>
    <w:rsid w:val="00874070"/>
    <w:rsid w:val="00874A52"/>
    <w:rsid w:val="00883616"/>
    <w:rsid w:val="008C0EAD"/>
    <w:rsid w:val="008C12AD"/>
    <w:rsid w:val="008E4547"/>
    <w:rsid w:val="008F16B9"/>
    <w:rsid w:val="0090012E"/>
    <w:rsid w:val="00901969"/>
    <w:rsid w:val="00904EA6"/>
    <w:rsid w:val="0091365B"/>
    <w:rsid w:val="0093348B"/>
    <w:rsid w:val="00933EE9"/>
    <w:rsid w:val="0093736D"/>
    <w:rsid w:val="009434DB"/>
    <w:rsid w:val="0095316D"/>
    <w:rsid w:val="00961109"/>
    <w:rsid w:val="00970BF3"/>
    <w:rsid w:val="00976DC8"/>
    <w:rsid w:val="00991EA7"/>
    <w:rsid w:val="009F75BD"/>
    <w:rsid w:val="00A01FE8"/>
    <w:rsid w:val="00A14831"/>
    <w:rsid w:val="00A16A28"/>
    <w:rsid w:val="00A16D6A"/>
    <w:rsid w:val="00A2192E"/>
    <w:rsid w:val="00A27A16"/>
    <w:rsid w:val="00A42B3A"/>
    <w:rsid w:val="00A4745B"/>
    <w:rsid w:val="00A479D6"/>
    <w:rsid w:val="00A47F0E"/>
    <w:rsid w:val="00A56AC9"/>
    <w:rsid w:val="00A716DE"/>
    <w:rsid w:val="00A73B23"/>
    <w:rsid w:val="00A941C4"/>
    <w:rsid w:val="00AA2452"/>
    <w:rsid w:val="00AB36EC"/>
    <w:rsid w:val="00AC044B"/>
    <w:rsid w:val="00AD2C85"/>
    <w:rsid w:val="00AE7B49"/>
    <w:rsid w:val="00B06DD4"/>
    <w:rsid w:val="00B10526"/>
    <w:rsid w:val="00B31DE8"/>
    <w:rsid w:val="00B4177F"/>
    <w:rsid w:val="00B4299D"/>
    <w:rsid w:val="00B50BD2"/>
    <w:rsid w:val="00B82C7D"/>
    <w:rsid w:val="00B85803"/>
    <w:rsid w:val="00B90BD7"/>
    <w:rsid w:val="00B92128"/>
    <w:rsid w:val="00BA3721"/>
    <w:rsid w:val="00BB6781"/>
    <w:rsid w:val="00BC157D"/>
    <w:rsid w:val="00BC222A"/>
    <w:rsid w:val="00BD51A8"/>
    <w:rsid w:val="00BE5D5E"/>
    <w:rsid w:val="00C22F2D"/>
    <w:rsid w:val="00C63B89"/>
    <w:rsid w:val="00C73662"/>
    <w:rsid w:val="00C871EC"/>
    <w:rsid w:val="00C90CB8"/>
    <w:rsid w:val="00C91162"/>
    <w:rsid w:val="00C927D8"/>
    <w:rsid w:val="00C947C0"/>
    <w:rsid w:val="00CA5F8B"/>
    <w:rsid w:val="00CA7E80"/>
    <w:rsid w:val="00CB003A"/>
    <w:rsid w:val="00CD0050"/>
    <w:rsid w:val="00CD0496"/>
    <w:rsid w:val="00CD7F1B"/>
    <w:rsid w:val="00CE1879"/>
    <w:rsid w:val="00CF41BF"/>
    <w:rsid w:val="00D119CB"/>
    <w:rsid w:val="00D2204A"/>
    <w:rsid w:val="00D24932"/>
    <w:rsid w:val="00D45F88"/>
    <w:rsid w:val="00D46511"/>
    <w:rsid w:val="00D724FE"/>
    <w:rsid w:val="00D73665"/>
    <w:rsid w:val="00D750D0"/>
    <w:rsid w:val="00D81210"/>
    <w:rsid w:val="00D908A2"/>
    <w:rsid w:val="00D92817"/>
    <w:rsid w:val="00D93303"/>
    <w:rsid w:val="00DA0AE8"/>
    <w:rsid w:val="00DE2FCA"/>
    <w:rsid w:val="00DF4EB2"/>
    <w:rsid w:val="00E05A8E"/>
    <w:rsid w:val="00E12DAF"/>
    <w:rsid w:val="00E30560"/>
    <w:rsid w:val="00E47E1B"/>
    <w:rsid w:val="00E51650"/>
    <w:rsid w:val="00E669A8"/>
    <w:rsid w:val="00E941A3"/>
    <w:rsid w:val="00EA1D2D"/>
    <w:rsid w:val="00EC15FE"/>
    <w:rsid w:val="00EC5C7F"/>
    <w:rsid w:val="00ED3E7B"/>
    <w:rsid w:val="00EE51B2"/>
    <w:rsid w:val="00EE563D"/>
    <w:rsid w:val="00F03B0D"/>
    <w:rsid w:val="00F35124"/>
    <w:rsid w:val="00F57771"/>
    <w:rsid w:val="00F62865"/>
    <w:rsid w:val="00F71311"/>
    <w:rsid w:val="00F86002"/>
    <w:rsid w:val="00F9647F"/>
    <w:rsid w:val="00FC163F"/>
    <w:rsid w:val="00FC3BF7"/>
    <w:rsid w:val="00FC70FF"/>
    <w:rsid w:val="00FE51D8"/>
    <w:rsid w:val="00FF22EE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997B"/>
  <w15:docId w15:val="{7A2F38D6-1882-44DD-AF02-732AB93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57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F46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F46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900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Zpat">
    <w:name w:val="footer"/>
    <w:basedOn w:val="Standard"/>
    <w:link w:val="ZpatChar"/>
    <w:unhideWhenUsed/>
    <w:rsid w:val="00590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900F6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numbering" w:customStyle="1" w:styleId="WW8Num5">
    <w:name w:val="WW8Num5"/>
    <w:rsid w:val="005900F6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933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3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3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3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3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256"/>
  </w:style>
  <w:style w:type="table" w:styleId="Mkatabulky">
    <w:name w:val="Table Grid"/>
    <w:basedOn w:val="Normlntabulka"/>
    <w:uiPriority w:val="39"/>
    <w:rsid w:val="00BD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CC84-E2AE-487E-80FA-8333AB26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1945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Simona Jelínková</cp:lastModifiedBy>
  <cp:revision>247</cp:revision>
  <cp:lastPrinted>2022-03-04T12:24:00Z</cp:lastPrinted>
  <dcterms:created xsi:type="dcterms:W3CDTF">2014-03-05T14:24:00Z</dcterms:created>
  <dcterms:modified xsi:type="dcterms:W3CDTF">2022-03-04T12:24:00Z</dcterms:modified>
</cp:coreProperties>
</file>