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3" w:type="dxa"/>
        <w:tblCellSpacing w:w="15" w:type="dxa"/>
        <w:tblInd w:w="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6"/>
        <w:gridCol w:w="7427"/>
      </w:tblGrid>
      <w:tr w:rsidR="00FA767F" w:rsidRPr="00B325C0" w:rsidTr="00D10F6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A767F" w:rsidRPr="00B325C0" w:rsidRDefault="00FA767F" w:rsidP="00D10F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 wp14:anchorId="1DCE995D" wp14:editId="19DE3EB5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4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5"/>
            </w:tblGrid>
            <w:tr w:rsidR="00FA767F" w:rsidRPr="00B325C0" w:rsidTr="00D10F6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767F" w:rsidRPr="00B325C0" w:rsidRDefault="00FA767F" w:rsidP="00D10F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B325C0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FA767F" w:rsidRPr="00B325C0" w:rsidTr="00D10F6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767F" w:rsidRPr="00B325C0" w:rsidRDefault="00FA767F" w:rsidP="00D10F6F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B325C0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FA767F" w:rsidRPr="00B325C0" w:rsidTr="00D10F6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767F" w:rsidRPr="00B325C0" w:rsidRDefault="00FA767F" w:rsidP="00D10F6F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B325C0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30. zasedání zastupitelstva města</w:t>
                  </w:r>
                </w:p>
              </w:tc>
            </w:tr>
            <w:tr w:rsidR="00FA767F" w:rsidRPr="00B325C0" w:rsidTr="00D10F6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767F" w:rsidRPr="00B325C0" w:rsidRDefault="00FA767F" w:rsidP="00D10F6F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B325C0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B325C0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6.6.2022</w:t>
                  </w:r>
                  <w:proofErr w:type="gramEnd"/>
                </w:p>
              </w:tc>
            </w:tr>
            <w:tr w:rsidR="00FA767F" w:rsidRPr="00B325C0" w:rsidTr="00D10F6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A767F" w:rsidRPr="00B325C0" w:rsidRDefault="00FA767F" w:rsidP="00D10F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32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487/30/ZM/2022/Veřejný</w:t>
                  </w:r>
                </w:p>
              </w:tc>
            </w:tr>
          </w:tbl>
          <w:p w:rsidR="00FA767F" w:rsidRPr="00B325C0" w:rsidRDefault="00FA767F" w:rsidP="00D10F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</w:tbl>
    <w:p w:rsidR="00FA767F" w:rsidRDefault="00FA767F" w:rsidP="00693363">
      <w:pPr>
        <w:jc w:val="center"/>
        <w:rPr>
          <w:b/>
          <w:sz w:val="28"/>
          <w:szCs w:val="28"/>
        </w:rPr>
      </w:pPr>
    </w:p>
    <w:p w:rsidR="0057137F" w:rsidRPr="00B325C0" w:rsidRDefault="0057137F" w:rsidP="005713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B325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57137F" w:rsidRPr="00B325C0" w:rsidRDefault="0057137F" w:rsidP="005713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B325C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v souladu s ustanovením § 84, odst. 2, písm. b) zákona č. 128/2000 Sb., o obcích v platném znění a § 17 zákona č. 250/2000 Sb., o rozpočtových pravidlech územních rozpočtů, ve znění pozdějších předpisů závěrečný účet města Slavkov u Brna za rok 2021 včetně zprávy o výsledku přezkoumání hospodaření za rok 2021 bez výhrad.</w:t>
      </w:r>
    </w:p>
    <w:p w:rsidR="0057137F" w:rsidRDefault="0057137F" w:rsidP="005713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</w:p>
    <w:p w:rsidR="0057137F" w:rsidRDefault="0057137F" w:rsidP="00693363">
      <w:pPr>
        <w:jc w:val="center"/>
        <w:rPr>
          <w:b/>
          <w:sz w:val="28"/>
          <w:szCs w:val="28"/>
        </w:rPr>
      </w:pPr>
    </w:p>
    <w:p w:rsidR="001F172D" w:rsidRPr="00693363" w:rsidRDefault="00693363" w:rsidP="00693363">
      <w:pPr>
        <w:jc w:val="center"/>
        <w:rPr>
          <w:b/>
          <w:sz w:val="28"/>
          <w:szCs w:val="28"/>
        </w:rPr>
      </w:pPr>
      <w:r w:rsidRPr="00693363">
        <w:rPr>
          <w:b/>
          <w:sz w:val="28"/>
          <w:szCs w:val="28"/>
        </w:rPr>
        <w:t>Územně samosprávný celek: Slavkov u Brna</w:t>
      </w:r>
    </w:p>
    <w:p w:rsidR="00693363" w:rsidRPr="00693363" w:rsidRDefault="00693363" w:rsidP="00693363">
      <w:pPr>
        <w:jc w:val="center"/>
        <w:rPr>
          <w:b/>
          <w:sz w:val="28"/>
          <w:szCs w:val="28"/>
        </w:rPr>
      </w:pPr>
      <w:r w:rsidRPr="00693363">
        <w:rPr>
          <w:b/>
          <w:sz w:val="28"/>
          <w:szCs w:val="28"/>
        </w:rPr>
        <w:t>Závěrečný účet města Slavkov u Brna</w:t>
      </w:r>
    </w:p>
    <w:p w:rsidR="00693363" w:rsidRDefault="00F2083D" w:rsidP="00693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Rozpočtový rok 2021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Plnění rozpočtu příjmů a výdajů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Hospodaření s majetkem města a další finanční operace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Tvorba a použití peněžních fondů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Vyúčtování finančních vztahů ke státnímu rozpočtu a ostatním rozpočtům veřejné úrovně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Hospodářská činnost města</w:t>
      </w:r>
    </w:p>
    <w:p w:rsidR="00693363" w:rsidRP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Zpráva o výsledku přezkoumání hospodaření</w:t>
      </w:r>
    </w:p>
    <w:p w:rsidR="00693363" w:rsidRDefault="00693363" w:rsidP="0069336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93363">
        <w:rPr>
          <w:sz w:val="20"/>
          <w:szCs w:val="20"/>
        </w:rPr>
        <w:t>Hospodaření příspěvkových organizací</w:t>
      </w:r>
    </w:p>
    <w:p w:rsidR="00693363" w:rsidRPr="00C32447" w:rsidRDefault="00693363" w:rsidP="00693363">
      <w:pPr>
        <w:spacing w:after="0" w:line="240" w:lineRule="auto"/>
        <w:rPr>
          <w:b/>
          <w:sz w:val="24"/>
          <w:szCs w:val="24"/>
        </w:rPr>
      </w:pPr>
      <w:r w:rsidRPr="00C32447">
        <w:rPr>
          <w:b/>
          <w:sz w:val="24"/>
          <w:szCs w:val="24"/>
        </w:rPr>
        <w:t>1. Plnění rozpočtu příjmů a výdajů</w:t>
      </w:r>
    </w:p>
    <w:p w:rsidR="00693363" w:rsidRPr="00693363" w:rsidRDefault="00693363" w:rsidP="00693363">
      <w:pPr>
        <w:spacing w:after="0" w:line="240" w:lineRule="auto"/>
        <w:rPr>
          <w:sz w:val="20"/>
          <w:szCs w:val="20"/>
        </w:rPr>
      </w:pPr>
    </w:p>
    <w:p w:rsidR="00F2083D" w:rsidRDefault="00693363" w:rsidP="00F2083D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>Rozpočet m</w:t>
      </w:r>
      <w:r w:rsidR="00F2083D">
        <w:rPr>
          <w:sz w:val="20"/>
          <w:szCs w:val="20"/>
        </w:rPr>
        <w:t>ěsta Slavkov</w:t>
      </w:r>
      <w:r w:rsidR="001B4D97">
        <w:rPr>
          <w:sz w:val="20"/>
          <w:szCs w:val="20"/>
        </w:rPr>
        <w:t>a</w:t>
      </w:r>
      <w:r w:rsidR="00F2083D">
        <w:rPr>
          <w:sz w:val="20"/>
          <w:szCs w:val="20"/>
        </w:rPr>
        <w:t xml:space="preserve"> u Brna pro rok 2021</w:t>
      </w:r>
      <w:r>
        <w:rPr>
          <w:sz w:val="20"/>
          <w:szCs w:val="20"/>
        </w:rPr>
        <w:t xml:space="preserve"> byl chválen</w:t>
      </w:r>
      <w:r w:rsidR="00F2083D">
        <w:rPr>
          <w:sz w:val="20"/>
          <w:szCs w:val="20"/>
        </w:rPr>
        <w:t xml:space="preserve"> na 18. schůzi</w:t>
      </w:r>
      <w:r>
        <w:rPr>
          <w:sz w:val="20"/>
          <w:szCs w:val="20"/>
        </w:rPr>
        <w:t xml:space="preserve"> zastup</w:t>
      </w:r>
      <w:r w:rsidR="00F2083D">
        <w:rPr>
          <w:sz w:val="20"/>
          <w:szCs w:val="20"/>
        </w:rPr>
        <w:t>itelstva</w:t>
      </w:r>
      <w:r>
        <w:rPr>
          <w:sz w:val="20"/>
          <w:szCs w:val="20"/>
        </w:rPr>
        <w:t xml:space="preserve"> města Slavkov u Brna dne </w:t>
      </w:r>
      <w:r w:rsidR="00F2083D">
        <w:rPr>
          <w:sz w:val="20"/>
          <w:szCs w:val="20"/>
        </w:rPr>
        <w:t>7. 12. 2020</w:t>
      </w:r>
      <w:r w:rsidR="00152567">
        <w:rPr>
          <w:sz w:val="20"/>
          <w:szCs w:val="20"/>
        </w:rPr>
        <w:t xml:space="preserve"> jako schod</w:t>
      </w:r>
      <w:r w:rsidR="002C1A55">
        <w:rPr>
          <w:sz w:val="20"/>
          <w:szCs w:val="20"/>
        </w:rPr>
        <w:t>kový, výše příjmů 172.360.</w:t>
      </w:r>
      <w:r w:rsidR="00F2083D">
        <w:rPr>
          <w:sz w:val="20"/>
          <w:szCs w:val="20"/>
        </w:rPr>
        <w:t>90</w:t>
      </w:r>
      <w:r w:rsidR="002C1A55">
        <w:rPr>
          <w:sz w:val="20"/>
          <w:szCs w:val="20"/>
        </w:rPr>
        <w:t>0 Kč, výdajů 231.627.</w:t>
      </w:r>
      <w:r w:rsidR="00F2083D">
        <w:rPr>
          <w:sz w:val="20"/>
          <w:szCs w:val="20"/>
        </w:rPr>
        <w:t>5</w:t>
      </w:r>
      <w:r w:rsidR="00BF0FB7">
        <w:rPr>
          <w:sz w:val="20"/>
          <w:szCs w:val="20"/>
        </w:rPr>
        <w:t>0</w:t>
      </w:r>
      <w:r w:rsidR="002C1A55">
        <w:rPr>
          <w:sz w:val="20"/>
          <w:szCs w:val="20"/>
        </w:rPr>
        <w:t>0</w:t>
      </w:r>
      <w:r w:rsidR="00BF0FB7">
        <w:rPr>
          <w:sz w:val="20"/>
          <w:szCs w:val="20"/>
        </w:rPr>
        <w:t xml:space="preserve"> tis.</w:t>
      </w:r>
      <w:r w:rsidR="00F2083D">
        <w:rPr>
          <w:sz w:val="20"/>
          <w:szCs w:val="20"/>
        </w:rPr>
        <w:t xml:space="preserve"> Kč, </w:t>
      </w:r>
      <w:r w:rsidR="00F2083D" w:rsidRPr="00017DAB">
        <w:rPr>
          <w:rFonts w:cstheme="minorHAnsi"/>
          <w:color w:val="000000"/>
          <w:sz w:val="20"/>
          <w:szCs w:val="20"/>
          <w:shd w:val="clear" w:color="auto" w:fill="FFFFFF"/>
        </w:rPr>
        <w:t>saldo příjmů a výdajů ve výši  59.266.600 Kč. Financování - Splátky dlouhodobých závazků (splátky jistin úvěrů) ve výši 4.208.200 Kč.  Schodek rozpočtu včetně Financování v celkov</w:t>
      </w:r>
      <w:r w:rsidR="00F2083D">
        <w:rPr>
          <w:rFonts w:cstheme="minorHAnsi"/>
          <w:color w:val="000000"/>
          <w:sz w:val="20"/>
          <w:szCs w:val="20"/>
          <w:shd w:val="clear" w:color="auto" w:fill="FFFFFF"/>
        </w:rPr>
        <w:t>é výši 63.474.800 Kč pokryt</w:t>
      </w:r>
      <w:r w:rsidR="00F2083D" w:rsidRPr="00017DAB">
        <w:rPr>
          <w:rFonts w:cstheme="minorHAnsi"/>
          <w:color w:val="000000"/>
          <w:sz w:val="20"/>
          <w:szCs w:val="20"/>
          <w:shd w:val="clear" w:color="auto" w:fill="FFFFFF"/>
        </w:rPr>
        <w:t xml:space="preserve"> čerpáním finančních prostředků</w:t>
      </w:r>
      <w:r w:rsidR="00F2083D">
        <w:rPr>
          <w:rFonts w:cstheme="minorHAnsi"/>
          <w:color w:val="000000"/>
          <w:sz w:val="20"/>
          <w:szCs w:val="20"/>
          <w:shd w:val="clear" w:color="auto" w:fill="FFFFFF"/>
        </w:rPr>
        <w:t xml:space="preserve"> Fondu rezerv a rozvoje.</w:t>
      </w:r>
    </w:p>
    <w:p w:rsidR="00844233" w:rsidRDefault="00152567" w:rsidP="00BF0FB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průběhu </w:t>
      </w:r>
      <w:r w:rsidR="00844233">
        <w:rPr>
          <w:sz w:val="20"/>
          <w:szCs w:val="20"/>
        </w:rPr>
        <w:t>roku</w:t>
      </w:r>
      <w:r w:rsidR="00F2083D">
        <w:rPr>
          <w:sz w:val="20"/>
          <w:szCs w:val="20"/>
        </w:rPr>
        <w:t xml:space="preserve"> 2021 byl rozpočet změněn 80</w:t>
      </w:r>
      <w:r>
        <w:rPr>
          <w:sz w:val="20"/>
          <w:szCs w:val="20"/>
        </w:rPr>
        <w:t xml:space="preserve"> rozpočtovými opatřeními.</w:t>
      </w:r>
      <w:r w:rsidR="00BF0FB7">
        <w:rPr>
          <w:sz w:val="20"/>
          <w:szCs w:val="20"/>
        </w:rPr>
        <w:t xml:space="preserve"> Celkové skutečné př</w:t>
      </w:r>
      <w:r w:rsidR="002C1A55">
        <w:rPr>
          <w:sz w:val="20"/>
          <w:szCs w:val="20"/>
        </w:rPr>
        <w:t xml:space="preserve">íjmy rozpočtu dosáhly </w:t>
      </w:r>
      <w:r w:rsidR="001B4D97">
        <w:rPr>
          <w:sz w:val="20"/>
          <w:szCs w:val="20"/>
        </w:rPr>
        <w:t>227.709.156,5</w:t>
      </w:r>
      <w:r w:rsidR="002C1A55">
        <w:rPr>
          <w:sz w:val="20"/>
          <w:szCs w:val="20"/>
        </w:rPr>
        <w:t>0</w:t>
      </w:r>
      <w:r w:rsidR="00BF0FB7">
        <w:rPr>
          <w:sz w:val="20"/>
          <w:szCs w:val="20"/>
        </w:rPr>
        <w:t xml:space="preserve"> Kč </w:t>
      </w:r>
      <w:r w:rsidR="002C1A55">
        <w:rPr>
          <w:sz w:val="20"/>
          <w:szCs w:val="20"/>
        </w:rPr>
        <w:t>a výdaje 245.855.313,12</w:t>
      </w:r>
      <w:r w:rsidR="00BF0FB7">
        <w:rPr>
          <w:sz w:val="20"/>
          <w:szCs w:val="20"/>
        </w:rPr>
        <w:t xml:space="preserve"> Kč.</w:t>
      </w:r>
      <w:r w:rsidR="002C1A55">
        <w:rPr>
          <w:sz w:val="20"/>
          <w:szCs w:val="20"/>
        </w:rPr>
        <w:t xml:space="preserve"> Saldo příjmy – výdaje dosáhlo záporného výsledku hospodařen ve výši </w:t>
      </w:r>
      <w:r w:rsidR="006D73AE">
        <w:rPr>
          <w:sz w:val="20"/>
          <w:szCs w:val="20"/>
        </w:rPr>
        <w:t>-</w:t>
      </w:r>
      <w:r w:rsidR="002C1A55">
        <w:rPr>
          <w:sz w:val="20"/>
          <w:szCs w:val="20"/>
        </w:rPr>
        <w:t xml:space="preserve">18.146.156,62 Kč. Toto saldo </w:t>
      </w:r>
      <w:r w:rsidR="001B4D97">
        <w:rPr>
          <w:sz w:val="20"/>
          <w:szCs w:val="20"/>
        </w:rPr>
        <w:t>bylo pokryto v rozpočtu</w:t>
      </w:r>
      <w:r w:rsidR="002C1A55">
        <w:rPr>
          <w:sz w:val="20"/>
          <w:szCs w:val="20"/>
        </w:rPr>
        <w:t xml:space="preserve"> financování</w:t>
      </w:r>
      <w:r w:rsidR="001B4D97">
        <w:rPr>
          <w:sz w:val="20"/>
          <w:szCs w:val="20"/>
        </w:rPr>
        <w:t>m</w:t>
      </w:r>
      <w:r w:rsidR="002C1A55">
        <w:rPr>
          <w:sz w:val="20"/>
          <w:szCs w:val="20"/>
        </w:rPr>
        <w:t xml:space="preserve"> ve výši 80.027.000 Kč. Skutečný výsledek rozpočtového hospodaření včetně financování činní </w:t>
      </w:r>
      <w:r w:rsidR="006D73AE">
        <w:rPr>
          <w:sz w:val="20"/>
          <w:szCs w:val="20"/>
        </w:rPr>
        <w:t xml:space="preserve">57.672.668,76 Kč (záporné saldo příjmů a výdajů </w:t>
      </w:r>
      <w:r w:rsidR="001B4D97">
        <w:rPr>
          <w:sz w:val="20"/>
          <w:szCs w:val="20"/>
        </w:rPr>
        <w:t xml:space="preserve">ve výši 18.146.156,62 </w:t>
      </w:r>
      <w:r w:rsidR="006D73AE">
        <w:rPr>
          <w:sz w:val="20"/>
          <w:szCs w:val="20"/>
        </w:rPr>
        <w:t>+ financování</w:t>
      </w:r>
      <w:r w:rsidR="001B4D97">
        <w:rPr>
          <w:sz w:val="20"/>
          <w:szCs w:val="20"/>
        </w:rPr>
        <w:t xml:space="preserve"> ve výši 80.027.000 Kč</w:t>
      </w:r>
      <w:r w:rsidR="006D73AE">
        <w:rPr>
          <w:sz w:val="20"/>
          <w:szCs w:val="20"/>
        </w:rPr>
        <w:t xml:space="preserve"> – splátky dlouhodobých bankovních úvěrů ve výši 4.108.127,62 Kč).</w:t>
      </w:r>
    </w:p>
    <w:p w:rsidR="0002197A" w:rsidRDefault="0002197A" w:rsidP="00BF0FB7">
      <w:pPr>
        <w:spacing w:after="0" w:line="240" w:lineRule="auto"/>
        <w:jc w:val="both"/>
        <w:rPr>
          <w:sz w:val="20"/>
          <w:szCs w:val="20"/>
        </w:rPr>
      </w:pPr>
    </w:p>
    <w:p w:rsidR="0002197A" w:rsidRPr="0002197A" w:rsidRDefault="0002197A" w:rsidP="00BF0FB7">
      <w:pPr>
        <w:spacing w:after="0" w:line="240" w:lineRule="auto"/>
        <w:jc w:val="both"/>
        <w:rPr>
          <w:b/>
          <w:sz w:val="20"/>
          <w:szCs w:val="20"/>
        </w:rPr>
      </w:pPr>
      <w:r w:rsidRPr="0002197A">
        <w:rPr>
          <w:b/>
          <w:sz w:val="20"/>
          <w:szCs w:val="20"/>
        </w:rPr>
        <w:t>Reka</w:t>
      </w:r>
      <w:r w:rsidR="00F2083D">
        <w:rPr>
          <w:b/>
          <w:sz w:val="20"/>
          <w:szCs w:val="20"/>
        </w:rPr>
        <w:t>pitulace hospodaření za rok 2021</w:t>
      </w:r>
      <w:r w:rsidR="002C1A55">
        <w:rPr>
          <w:b/>
          <w:sz w:val="20"/>
          <w:szCs w:val="20"/>
        </w:rPr>
        <w:t xml:space="preserve"> včetně financování </w:t>
      </w:r>
      <w:r w:rsidR="006D73AE">
        <w:rPr>
          <w:b/>
          <w:sz w:val="20"/>
          <w:szCs w:val="20"/>
        </w:rPr>
        <w:t xml:space="preserve">dle výkazu FIN 2-12 </w:t>
      </w:r>
      <w:r w:rsidR="002C1A55">
        <w:rPr>
          <w:b/>
          <w:sz w:val="20"/>
          <w:szCs w:val="20"/>
        </w:rPr>
        <w:t>(</w:t>
      </w:r>
      <w:r w:rsidR="006D73AE">
        <w:rPr>
          <w:b/>
          <w:sz w:val="20"/>
          <w:szCs w:val="20"/>
        </w:rPr>
        <w:t>v</w:t>
      </w:r>
      <w:r w:rsidRPr="0002197A">
        <w:rPr>
          <w:b/>
          <w:sz w:val="20"/>
          <w:szCs w:val="20"/>
        </w:rPr>
        <w:t xml:space="preserve"> Kč)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760"/>
        <w:gridCol w:w="1720"/>
        <w:gridCol w:w="1640"/>
        <w:gridCol w:w="1600"/>
      </w:tblGrid>
      <w:tr w:rsidR="00352044" w:rsidRPr="00352044" w:rsidTr="00352044">
        <w:trPr>
          <w:trHeight w:val="2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UR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Skutečnost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UR-Skutečnost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Daňové příjmy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114 038 000,00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128 650 500,00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146 157 375,77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-17 506 875,77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Nedaňové příjmy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27 025 500,00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26 228 200,00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28 331 246,33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-2 103 046,33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Kapitálové příjmy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279 400,00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1 236 424,79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-957 024,79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Přijaté transfery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31 097 400,00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47 545 300,00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51 984 109,61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-4 438 809,61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Příjmy celkem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172 360 900,00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202 703 400,00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227 709 156,50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-25 005 756,50</w:t>
            </w:r>
          </w:p>
        </w:tc>
      </w:tr>
      <w:tr w:rsidR="00352044" w:rsidRPr="00352044" w:rsidTr="00352044">
        <w:trPr>
          <w:trHeight w:val="276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Výdaje běžné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136 877 500,00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152 687 600,00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141 198 992,04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11 488 607,96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Výdaje kapitálové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94 750 000,00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130 042 800,00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104 656 321,08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25 386 478,92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Výdaje celkem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231 627 500,00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282 730 400,00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245 855 313,12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36 875 086,88</w:t>
            </w:r>
          </w:p>
        </w:tc>
      </w:tr>
      <w:tr w:rsidR="00352044" w:rsidRPr="00352044" w:rsidTr="00352044">
        <w:trPr>
          <w:trHeight w:val="276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Příjmy -Výdaje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-59 266 600,00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-80 027 000,00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-18 146 156,62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-61 880 843,38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Změna stavu </w:t>
            </w:r>
            <w:proofErr w:type="spellStart"/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kr.</w:t>
            </w:r>
            <w:proofErr w:type="spellEnd"/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prost. </w:t>
            </w:r>
            <w:proofErr w:type="gramStart"/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na</w:t>
            </w:r>
            <w:proofErr w:type="gramEnd"/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bank. účtech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63 474 800,00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84 235 200,00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22 354 331,24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61 880 868,76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86241E" w:rsidP="0035204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Uhrazené splátky d</w:t>
            </w:r>
            <w:r w:rsidR="00352044"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l. úvěrů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4 208 200,00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4 208 200,00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4 208 174,62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25,38</w:t>
            </w:r>
          </w:p>
        </w:tc>
      </w:tr>
      <w:tr w:rsidR="00352044" w:rsidRPr="00352044" w:rsidTr="00352044">
        <w:trPr>
          <w:trHeight w:val="2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Financování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59 266 600,00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80 027 000,00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18 146 156,62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044" w:rsidRPr="00352044" w:rsidRDefault="00352044" w:rsidP="00352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52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61 880 843,38</w:t>
            </w:r>
          </w:p>
        </w:tc>
      </w:tr>
    </w:tbl>
    <w:p w:rsidR="00844233" w:rsidRDefault="00844233" w:rsidP="00844233">
      <w:pPr>
        <w:spacing w:after="0"/>
        <w:rPr>
          <w:b/>
        </w:rPr>
      </w:pPr>
    </w:p>
    <w:p w:rsidR="00835275" w:rsidRDefault="006D73AE" w:rsidP="00835275">
      <w:pPr>
        <w:spacing w:after="0"/>
        <w:rPr>
          <w:sz w:val="20"/>
          <w:szCs w:val="20"/>
        </w:rPr>
      </w:pPr>
      <w:r>
        <w:rPr>
          <w:sz w:val="20"/>
          <w:szCs w:val="20"/>
        </w:rPr>
        <w:t>Účetní závěrku k 31. 12. 2021</w:t>
      </w:r>
      <w:r w:rsidR="00835275" w:rsidRPr="0002197A">
        <w:rPr>
          <w:sz w:val="20"/>
          <w:szCs w:val="20"/>
        </w:rPr>
        <w:t xml:space="preserve"> schválilo zast</w:t>
      </w:r>
      <w:r>
        <w:rPr>
          <w:sz w:val="20"/>
          <w:szCs w:val="20"/>
        </w:rPr>
        <w:t>upitelstvo města na svém 29. zasedání dne 25. 4. 2022</w:t>
      </w:r>
      <w:r w:rsidR="00835275" w:rsidRPr="0002197A">
        <w:rPr>
          <w:sz w:val="20"/>
          <w:szCs w:val="20"/>
        </w:rPr>
        <w:t>.</w:t>
      </w:r>
    </w:p>
    <w:p w:rsidR="00835275" w:rsidRDefault="00835275" w:rsidP="00844233">
      <w:pPr>
        <w:spacing w:after="0"/>
        <w:rPr>
          <w:b/>
        </w:rPr>
      </w:pPr>
    </w:p>
    <w:p w:rsidR="006D73AE" w:rsidRDefault="006D73AE" w:rsidP="00844233">
      <w:pPr>
        <w:spacing w:after="0"/>
        <w:rPr>
          <w:b/>
        </w:rPr>
      </w:pPr>
    </w:p>
    <w:p w:rsidR="006D73AE" w:rsidRDefault="006D73AE" w:rsidP="00844233">
      <w:pPr>
        <w:spacing w:after="0"/>
        <w:rPr>
          <w:b/>
        </w:rPr>
      </w:pPr>
    </w:p>
    <w:p w:rsidR="006D73AE" w:rsidRDefault="006D73AE" w:rsidP="00844233">
      <w:pPr>
        <w:spacing w:after="0"/>
        <w:rPr>
          <w:b/>
        </w:rPr>
      </w:pPr>
    </w:p>
    <w:p w:rsidR="00F2083D" w:rsidRDefault="00F2083D" w:rsidP="00844233">
      <w:pPr>
        <w:spacing w:after="0"/>
        <w:rPr>
          <w:b/>
        </w:rPr>
      </w:pPr>
      <w:r>
        <w:rPr>
          <w:b/>
        </w:rPr>
        <w:t>Plnění rozpočtu v členění dle závazných ukazatelů za rok 2021 (v tis. Kč)</w:t>
      </w:r>
    </w:p>
    <w:tbl>
      <w:tblPr>
        <w:tblW w:w="9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260"/>
        <w:gridCol w:w="1240"/>
        <w:gridCol w:w="1220"/>
        <w:gridCol w:w="1240"/>
      </w:tblGrid>
      <w:tr w:rsidR="00E31983" w:rsidRPr="00E31983" w:rsidTr="00E31983">
        <w:trPr>
          <w:trHeight w:val="408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83" w:rsidRPr="00E31983" w:rsidRDefault="00E31983" w:rsidP="00E319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Schválený rozpočet 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83" w:rsidRPr="00E31983" w:rsidRDefault="00E31983" w:rsidP="00E319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RU 2021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83" w:rsidRPr="00E31983" w:rsidRDefault="00E31983" w:rsidP="00E319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Skutečnost              2021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86241E" w:rsidP="00E319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UR</w:t>
            </w:r>
            <w:r w:rsidR="00E31983"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- skutečnost</w:t>
            </w:r>
          </w:p>
        </w:tc>
      </w:tr>
      <w:tr w:rsidR="00E31983" w:rsidRPr="00E31983" w:rsidTr="00E31983">
        <w:trPr>
          <w:trHeight w:val="300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Třída </w:t>
            </w:r>
            <w:proofErr w:type="gramStart"/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POL   Název</w:t>
            </w:r>
            <w:proofErr w:type="gramEnd"/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třídy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31983" w:rsidRPr="00E31983" w:rsidTr="00E3198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1 - Daňové příjmy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114 038,00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128 650,50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146 157,38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-17 506,88</w:t>
            </w:r>
          </w:p>
        </w:tc>
      </w:tr>
      <w:tr w:rsidR="00E31983" w:rsidRPr="00E31983" w:rsidTr="00E3198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2 - Nedaňové příjmy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27 025,50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26 228,20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28 331,24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-2 103,04</w:t>
            </w:r>
          </w:p>
        </w:tc>
      </w:tr>
      <w:tr w:rsidR="00E31983" w:rsidRPr="00E31983" w:rsidTr="00E3198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3 - Kapitálové příjmy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279,40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1 236,42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-957,02</w:t>
            </w:r>
          </w:p>
        </w:tc>
      </w:tr>
      <w:tr w:rsidR="00E31983" w:rsidRPr="00E31983" w:rsidTr="00E3198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4 - Přijaté transfery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31 097,40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47 545,30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51 984,11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-4 438,81</w:t>
            </w:r>
          </w:p>
        </w:tc>
      </w:tr>
      <w:tr w:rsidR="00E31983" w:rsidRPr="00E31983" w:rsidTr="00E31983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Příjmy 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172 360,90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202 703,40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227 709,15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-25 005,75</w:t>
            </w:r>
          </w:p>
        </w:tc>
      </w:tr>
      <w:tr w:rsidR="00E31983" w:rsidRPr="00E31983" w:rsidTr="00E31983">
        <w:trPr>
          <w:trHeight w:val="288"/>
        </w:trPr>
        <w:tc>
          <w:tcPr>
            <w:tcW w:w="9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</w:t>
            </w:r>
          </w:p>
        </w:tc>
      </w:tr>
      <w:tr w:rsidR="00E31983" w:rsidRPr="00E31983" w:rsidTr="00E31983">
        <w:trPr>
          <w:trHeight w:val="288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5 - Běžné výdaje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10 - Kancelář tajemníka - ostatní výdaje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862,90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816,95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45,95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20 - Odbor stavebního úřadu, ŽP - ostatní výdaje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8 258,71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541,29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30 - Finanční odbor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1 327,30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5 143,00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4 680,06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462,94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30 - Finanční odbor - příspěvky zřízeným 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41 659,00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46 078,30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46 077,90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0,40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30 - Finanční odbor 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42 986,30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51 221,30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50 757,96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463,34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Investice a rozvoj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7 850,00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8 930,40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6 076,98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2 853,42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Správa majetku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8 149,00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8 149,00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6 714,90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1 434,10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ORJ 40 - Odbor správy majetku, investic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15 999,00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17 079,40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12 791,88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4 287,52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ORJ 50 - Odbor sociálních věcí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6 255,20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7 012,70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5 497,38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1 515,32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60 - Odbor správních činností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455,20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380,85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74,35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60 - Úsekové měření - radar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5 606,50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5 606,50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5 131,85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474,65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ORJ 60 - Odbor správních činností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5 846,50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6 061,70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5 512,70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549,00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71 - Odbor vnějších vztahů - ostatní výdaje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1 270,00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2 364,10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1 414,22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949,88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71 - Odbor vnějších vztahů - dotace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1 438,90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61,10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72 - MAP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3 146,40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2 465,14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681,26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70 - Odbor vnějších vztahů 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7 010,50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5 318,26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1 692,24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80 - Městský úřad - ostatní výdaje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45 949,10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46 919,70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45 076,75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1 842,95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80 - Městský úřad - odměny ZO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3 724,30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3 724,30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3 549,40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174,90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80 - Městský úřad 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49 673,40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50 644,00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48 626,15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2 017,85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ORJ 90 - Městská policie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3 917,10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3 995,10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3 588,24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406,86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Neidentifikovatelné výdaje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30,77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-30,77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5 - Běžné výdaje 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136 877,50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152 687,60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141 198,99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11 488,61</w:t>
            </w:r>
          </w:p>
        </w:tc>
      </w:tr>
      <w:tr w:rsidR="00E31983" w:rsidRPr="00E31983" w:rsidTr="00E31983">
        <w:trPr>
          <w:trHeight w:val="288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6 - Kapitálové výdaje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31983" w:rsidRPr="00E31983" w:rsidTr="00E31983">
        <w:trPr>
          <w:trHeight w:val="27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30 - Finanční odbor - investiční účelové příspěvky - ZŠ Kom.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30 - Finanční odbor - investiční účelové příspěvky PO ZS-A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30 - Finanční odbor - mimořádný vklad - DSO Dr. Kounice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1 898,00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1 898,00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30 - Finanční odbor 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2 898,00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2 898,00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PD - ul. Jiráskova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III/0501 - průtah Slavkov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19 864,51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135,49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Rekonstrukce ulice Malinovského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28 000,00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26 779,37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1 220,63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PD - ul. Polní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PD - ul. Havlíčkova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PD - přechod pro chodce Svojsíkův park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38,72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111,28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Plánovací smlouva Na Vyhlídce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42,35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57,65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Cyklostezka Slavkov-Křenovice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98,15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1,85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Rekonstrukce chodníků ul. Tyršova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1 789,90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1 498,73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291,17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ORJ 40 - Odbor IR - PD - regenerace </w:t>
            </w:r>
            <w:proofErr w:type="spellStart"/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sídl</w:t>
            </w:r>
            <w:proofErr w:type="spellEnd"/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. Nádražní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774,01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225,99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PD - poldr za kotelnou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238,37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61,63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PD - nová MŠ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1 452,00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1 848,00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Svazková škola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ZŠ Komenského - rekonstrukce střechy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21 500,00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21 046,30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453,70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PD - napoleonská expozice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PD - likvidace dešťových vod zámku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ORJ 40 - Odbor IR - PD - statika SV </w:t>
            </w:r>
            <w:proofErr w:type="spellStart"/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rizalitu</w:t>
            </w:r>
            <w:proofErr w:type="spellEnd"/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zámku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64,98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235,02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Projekty IROP - předfinancování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7 172,21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127,79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PD - obnova zámecké zdi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44,30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ORJ 40 - Odbor IR - Studie - </w:t>
            </w:r>
            <w:proofErr w:type="spellStart"/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revizatlizace</w:t>
            </w:r>
            <w:proofErr w:type="spellEnd"/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škvárového hřiště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109,51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40,49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Oranžové hřiště - Zlatá Hora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975,40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871,78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103,62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VO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498,77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1,23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Změna ÚP č.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120,19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379,81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Plánované změny ÚP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54,45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245,55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Výkupy pozemků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13 800,00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11 800,61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1 999,39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JSDH rekonstrukce budovy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999,00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833,22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165,78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Veřejná architektonická soutěž SCB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1 000,00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Projektové dokumentace - ostatní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193,07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956,93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Odbor IR - Elektroinstalace budova 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5 200,00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Oddělení SM - Rekonstrukce bytových jader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2 013,00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2 012,55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0,45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Oddělení SM - Rekonstrukce střechy Bučovická 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2 335,40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2 324,96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10,44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Oddělení SM - PD - Husova 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646,03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3 353,97</w:t>
            </w:r>
          </w:p>
        </w:tc>
      </w:tr>
      <w:tr w:rsidR="00E31983" w:rsidRPr="00E31983" w:rsidTr="00E31983">
        <w:trPr>
          <w:trHeight w:val="27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Oddělení SM - Výměna řízení výtahů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381,15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168,85</w:t>
            </w:r>
          </w:p>
        </w:tc>
      </w:tr>
      <w:tr w:rsidR="00E31983" w:rsidRPr="00E31983" w:rsidTr="00E31983">
        <w:trPr>
          <w:trHeight w:val="264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Oddělení SM - Výměna kotlů - Litavská 1482, 1488-90, 1496-98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1 901,60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1 403,49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498,11</w:t>
            </w:r>
          </w:p>
        </w:tc>
      </w:tr>
      <w:tr w:rsidR="00E31983" w:rsidRPr="00E31983" w:rsidTr="00E31983">
        <w:trPr>
          <w:trHeight w:val="264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40 - Oddělení SM - Elektromagnetický pohon dveří - poliklinika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30,00</w:t>
            </w:r>
          </w:p>
        </w:tc>
      </w:tr>
      <w:tr w:rsidR="00E31983" w:rsidRPr="00E31983" w:rsidTr="00E31983">
        <w:trPr>
          <w:trHeight w:val="264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ORJ 40 - Oddělení SM - Výměna plošiny pro </w:t>
            </w:r>
            <w:proofErr w:type="spellStart"/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bezbar</w:t>
            </w:r>
            <w:proofErr w:type="spellEnd"/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. vstup - poliklinika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65,00</w:t>
            </w:r>
          </w:p>
        </w:tc>
      </w:tr>
      <w:tr w:rsidR="00E31983" w:rsidRPr="00E31983" w:rsidTr="00E31983">
        <w:trPr>
          <w:trHeight w:val="264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40 - Odbor správy majetku, investic 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90 200,00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120 714,30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101 080,16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19 634,14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60 - Podpůrný software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200,00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ORJ 60 - Odbor správní - radar Velešovice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142,29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5 257,71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60 - Odbor SC-DSA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142,29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5 457,71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ORJ 80 - Městský úřad - V 109 - rozvoj komunikace s občany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288,50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288,50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 90 - Městská policie - Kamerový systém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542,00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535,87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6,13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Třída 6 - Kapitálové výdaje 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94 750,00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130 042,80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104 656,32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25 386,48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 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231 627,50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282 730,40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245 855,31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36 875,09</w:t>
            </w:r>
          </w:p>
        </w:tc>
      </w:tr>
      <w:tr w:rsidR="00E31983" w:rsidRPr="00E31983" w:rsidTr="00E31983">
        <w:trPr>
          <w:trHeight w:val="288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Saldo P -V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-59 266,60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-80 027,00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-18 146,16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1983" w:rsidRPr="00E31983" w:rsidRDefault="00E31983" w:rsidP="00E3198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31983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-61 880,84</w:t>
            </w:r>
          </w:p>
        </w:tc>
      </w:tr>
    </w:tbl>
    <w:p w:rsidR="00F2083D" w:rsidRDefault="00F2083D" w:rsidP="00844233">
      <w:pPr>
        <w:spacing w:after="0"/>
        <w:rPr>
          <w:b/>
        </w:rPr>
      </w:pPr>
    </w:p>
    <w:p w:rsidR="00E372ED" w:rsidRDefault="00232AC5" w:rsidP="00E372E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Komentář k plnění příjmů</w:t>
      </w:r>
    </w:p>
    <w:p w:rsidR="00C67CAD" w:rsidRDefault="00C67CAD" w:rsidP="00E372ED">
      <w:pPr>
        <w:spacing w:after="0" w:line="240" w:lineRule="auto"/>
        <w:rPr>
          <w:sz w:val="20"/>
          <w:szCs w:val="20"/>
        </w:rPr>
      </w:pPr>
      <w:r w:rsidRPr="00C67CAD">
        <w:rPr>
          <w:sz w:val="20"/>
          <w:szCs w:val="20"/>
        </w:rPr>
        <w:t>Skutečné příjmy za rok 2021 dosáhly výše 227.709,16 tis. Kč</w:t>
      </w:r>
    </w:p>
    <w:p w:rsidR="00C67CAD" w:rsidRDefault="00C67CAD" w:rsidP="00E372ED">
      <w:pPr>
        <w:spacing w:after="0" w:line="240" w:lineRule="auto"/>
        <w:rPr>
          <w:sz w:val="20"/>
          <w:szCs w:val="20"/>
        </w:rPr>
      </w:pPr>
    </w:p>
    <w:p w:rsidR="00C67CAD" w:rsidRPr="00C67CAD" w:rsidRDefault="00C67CAD" w:rsidP="00E372ED">
      <w:pPr>
        <w:spacing w:after="0" w:line="240" w:lineRule="auto"/>
        <w:rPr>
          <w:b/>
          <w:sz w:val="20"/>
          <w:szCs w:val="20"/>
        </w:rPr>
      </w:pPr>
      <w:r w:rsidRPr="00C67CAD">
        <w:rPr>
          <w:b/>
          <w:sz w:val="20"/>
          <w:szCs w:val="20"/>
        </w:rPr>
        <w:t>Struktura příjmů v roce 2021 (v Kč)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1624"/>
        <w:gridCol w:w="1560"/>
        <w:gridCol w:w="1559"/>
        <w:gridCol w:w="1559"/>
      </w:tblGrid>
      <w:tr w:rsidR="00C67CAD" w:rsidRPr="00F2083D" w:rsidTr="00C67CAD">
        <w:trPr>
          <w:trHeight w:val="28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SR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Skutečnost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UR-Skutečnost</w:t>
            </w:r>
          </w:p>
        </w:tc>
      </w:tr>
      <w:tr w:rsidR="00C67CAD" w:rsidRPr="00F2083D" w:rsidTr="00C67CAD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Daňové příjmy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114 038 000,00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128 650 500,00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146 157 375,77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-17 506 875,77</w:t>
            </w:r>
          </w:p>
        </w:tc>
      </w:tr>
      <w:tr w:rsidR="00C67CAD" w:rsidRPr="00F2083D" w:rsidTr="00C67CAD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Nedaňové příjmy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27 025 500,00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26 228 200,00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28 331 246,33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-2 103 046,33</w:t>
            </w:r>
          </w:p>
        </w:tc>
      </w:tr>
      <w:tr w:rsidR="00C67CAD" w:rsidRPr="00F2083D" w:rsidTr="00C67CAD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Kapitálové příjmy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279 400,00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1 236 424,79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-957 024,79</w:t>
            </w:r>
          </w:p>
        </w:tc>
      </w:tr>
      <w:tr w:rsidR="00C67CAD" w:rsidRPr="00F2083D" w:rsidTr="00C67CAD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Přijaté transfery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31 097 400,00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47 545 300,00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51 984 109,61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-4 438 809,61</w:t>
            </w:r>
          </w:p>
        </w:tc>
      </w:tr>
      <w:tr w:rsidR="00C67CAD" w:rsidRPr="00F2083D" w:rsidTr="00C67CAD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Příjmy celkem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172 360 900,00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202 703 400,00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227 709 156,50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AD" w:rsidRPr="00C67CAD" w:rsidRDefault="00C67CAD" w:rsidP="00C67CAD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C67CAD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-25 005 756,50</w:t>
            </w:r>
          </w:p>
        </w:tc>
      </w:tr>
    </w:tbl>
    <w:p w:rsidR="00C67CAD" w:rsidRPr="004C71B1" w:rsidRDefault="00C67CAD" w:rsidP="00E372ED">
      <w:pPr>
        <w:spacing w:after="0" w:line="240" w:lineRule="auto"/>
        <w:rPr>
          <w:b/>
          <w:sz w:val="24"/>
          <w:szCs w:val="24"/>
        </w:rPr>
      </w:pPr>
    </w:p>
    <w:p w:rsidR="00833742" w:rsidRDefault="0083020B" w:rsidP="00833742">
      <w:pPr>
        <w:spacing w:after="0" w:line="240" w:lineRule="auto"/>
        <w:jc w:val="both"/>
        <w:rPr>
          <w:sz w:val="20"/>
          <w:szCs w:val="20"/>
        </w:rPr>
      </w:pPr>
      <w:r w:rsidRPr="0038373A">
        <w:rPr>
          <w:b/>
          <w:sz w:val="20"/>
          <w:szCs w:val="20"/>
        </w:rPr>
        <w:t xml:space="preserve">Daňové příjmy </w:t>
      </w:r>
      <w:r>
        <w:rPr>
          <w:sz w:val="20"/>
          <w:szCs w:val="20"/>
        </w:rPr>
        <w:t>jsou nejvýznamnějším příjmem rozpočtu města,</w:t>
      </w:r>
      <w:r w:rsidR="006D73AE">
        <w:rPr>
          <w:sz w:val="20"/>
          <w:szCs w:val="20"/>
        </w:rPr>
        <w:t xml:space="preserve"> jejich celková výše v roce 2021 dosáhla 146.157</w:t>
      </w:r>
      <w:r>
        <w:rPr>
          <w:sz w:val="20"/>
          <w:szCs w:val="20"/>
        </w:rPr>
        <w:t>,</w:t>
      </w:r>
      <w:r w:rsidR="006D73AE">
        <w:rPr>
          <w:sz w:val="20"/>
          <w:szCs w:val="20"/>
        </w:rPr>
        <w:t>38</w:t>
      </w:r>
      <w:r w:rsidR="005A0711">
        <w:rPr>
          <w:sz w:val="20"/>
          <w:szCs w:val="20"/>
        </w:rPr>
        <w:t xml:space="preserve"> tis</w:t>
      </w:r>
      <w:r w:rsidR="00833742">
        <w:rPr>
          <w:sz w:val="20"/>
          <w:szCs w:val="20"/>
        </w:rPr>
        <w:t>. Kč, což činí 113,61</w:t>
      </w:r>
      <w:r w:rsidR="0038373A">
        <w:rPr>
          <w:sz w:val="20"/>
          <w:szCs w:val="20"/>
        </w:rPr>
        <w:t xml:space="preserve"> % upraveného</w:t>
      </w:r>
      <w:r w:rsidR="005A0711">
        <w:rPr>
          <w:sz w:val="20"/>
          <w:szCs w:val="20"/>
        </w:rPr>
        <w:t xml:space="preserve"> rozpočtu města. </w:t>
      </w:r>
      <w:r w:rsidR="00833742">
        <w:rPr>
          <w:sz w:val="20"/>
          <w:szCs w:val="20"/>
        </w:rPr>
        <w:t xml:space="preserve">Velký pokles v plnění zaznamenala daň z příjmů fyzických osob placená plátci. Při sestavování rozpočtu byl nastaven rozpočet na předpokládanou skutečnost roku 2020. V prosinci 2020 byl schválen Daňový balíček, který s účinností od 1. 1. 2021 zrušil </w:t>
      </w:r>
      <w:proofErr w:type="spellStart"/>
      <w:r w:rsidR="00833742">
        <w:rPr>
          <w:sz w:val="20"/>
          <w:szCs w:val="20"/>
        </w:rPr>
        <w:t>superhrubou</w:t>
      </w:r>
      <w:proofErr w:type="spellEnd"/>
      <w:r w:rsidR="00833742">
        <w:rPr>
          <w:sz w:val="20"/>
          <w:szCs w:val="20"/>
        </w:rPr>
        <w:t xml:space="preserve"> mzdu, což značně ovlivňuje výnos z této daně. Výpadek daně z příjmu fyzických osob placené plátci byl částečně pokryt rozpočtovým opatřením č. 40, které schválilo zastupitelstvo města na svém 24. zasedání dne 6. 9. 2021 a dále rozpočtovým opatřením č. 69, které schválilo zastupitelstvo města na svém 26. zasedání dne 13. 12. 2021.</w:t>
      </w:r>
    </w:p>
    <w:p w:rsidR="00C67CAD" w:rsidRDefault="00833742" w:rsidP="0083374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Naopak vysokého plnění dosáhly daň z příjmů právnických osob a dále daň z přidané hodnoty. </w:t>
      </w:r>
    </w:p>
    <w:p w:rsidR="00833742" w:rsidRDefault="00833742" w:rsidP="0083374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Celkově bylo plnění daňových příjmů o </w:t>
      </w:r>
      <w:r w:rsidR="00101261">
        <w:rPr>
          <w:sz w:val="20"/>
          <w:szCs w:val="20"/>
        </w:rPr>
        <w:t>17.507 tis. Kč vyšší než upravený rozpočet.</w:t>
      </w:r>
      <w:r w:rsidR="00E0114F">
        <w:rPr>
          <w:sz w:val="20"/>
          <w:szCs w:val="20"/>
        </w:rPr>
        <w:t xml:space="preserve"> </w:t>
      </w:r>
    </w:p>
    <w:p w:rsidR="00833742" w:rsidRDefault="00833742" w:rsidP="00461EA7">
      <w:pPr>
        <w:spacing w:after="0" w:line="240" w:lineRule="auto"/>
        <w:jc w:val="both"/>
        <w:rPr>
          <w:sz w:val="20"/>
          <w:szCs w:val="20"/>
        </w:rPr>
      </w:pPr>
    </w:p>
    <w:p w:rsidR="00C67CAD" w:rsidRDefault="005A0711" w:rsidP="00461EA7">
      <w:pPr>
        <w:spacing w:after="0" w:line="240" w:lineRule="auto"/>
        <w:jc w:val="both"/>
        <w:rPr>
          <w:sz w:val="20"/>
          <w:szCs w:val="20"/>
        </w:rPr>
      </w:pPr>
      <w:r w:rsidRPr="0038373A">
        <w:rPr>
          <w:b/>
          <w:sz w:val="20"/>
          <w:szCs w:val="20"/>
        </w:rPr>
        <w:t>Nedaňové příjmy</w:t>
      </w:r>
      <w:r w:rsidR="00232AC5">
        <w:rPr>
          <w:sz w:val="20"/>
          <w:szCs w:val="20"/>
        </w:rPr>
        <w:t xml:space="preserve"> v roce 2021 dosáhly 28.331,25</w:t>
      </w:r>
      <w:r>
        <w:rPr>
          <w:sz w:val="20"/>
          <w:szCs w:val="20"/>
        </w:rPr>
        <w:t xml:space="preserve"> tis. K</w:t>
      </w:r>
      <w:r w:rsidR="00232AC5">
        <w:rPr>
          <w:sz w:val="20"/>
          <w:szCs w:val="20"/>
        </w:rPr>
        <w:t xml:space="preserve">č. Poprvé za rok 2021 obsahují nedaňové příjmy i příjmy z pronájmů majetku města. </w:t>
      </w:r>
    </w:p>
    <w:p w:rsidR="005A0711" w:rsidRDefault="00232AC5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Celkově bylo pl</w:t>
      </w:r>
      <w:r w:rsidR="00C67CAD">
        <w:rPr>
          <w:sz w:val="20"/>
          <w:szCs w:val="20"/>
        </w:rPr>
        <w:t>nění nedaňových příjmů o 2.103,1</w:t>
      </w:r>
      <w:r>
        <w:rPr>
          <w:sz w:val="20"/>
          <w:szCs w:val="20"/>
        </w:rPr>
        <w:t xml:space="preserve"> tis. Kč vyšší než upravený rozpočet města. </w:t>
      </w:r>
    </w:p>
    <w:p w:rsidR="00232AC5" w:rsidRDefault="00232AC5" w:rsidP="00461EA7">
      <w:pPr>
        <w:spacing w:after="0" w:line="240" w:lineRule="auto"/>
        <w:jc w:val="both"/>
        <w:rPr>
          <w:sz w:val="20"/>
          <w:szCs w:val="20"/>
        </w:rPr>
      </w:pPr>
    </w:p>
    <w:p w:rsidR="005A0711" w:rsidRDefault="005A0711" w:rsidP="00461EA7">
      <w:pPr>
        <w:spacing w:after="0" w:line="240" w:lineRule="auto"/>
        <w:jc w:val="both"/>
        <w:rPr>
          <w:sz w:val="20"/>
          <w:szCs w:val="20"/>
        </w:rPr>
      </w:pPr>
      <w:r w:rsidRPr="0038373A">
        <w:rPr>
          <w:b/>
          <w:sz w:val="20"/>
          <w:szCs w:val="20"/>
        </w:rPr>
        <w:t>Kapitálové příjm</w:t>
      </w:r>
      <w:r w:rsidR="00B74C9D" w:rsidRPr="0038373A">
        <w:rPr>
          <w:b/>
          <w:sz w:val="20"/>
          <w:szCs w:val="20"/>
        </w:rPr>
        <w:t>y</w:t>
      </w:r>
      <w:r w:rsidR="00232AC5">
        <w:rPr>
          <w:sz w:val="20"/>
          <w:szCs w:val="20"/>
        </w:rPr>
        <w:t xml:space="preserve"> dosáhly výše 1.236,43 </w:t>
      </w:r>
      <w:r w:rsidR="00B74C9D">
        <w:rPr>
          <w:sz w:val="20"/>
          <w:szCs w:val="20"/>
        </w:rPr>
        <w:t>tis. Kč. Ka</w:t>
      </w:r>
      <w:r w:rsidR="00232AC5">
        <w:rPr>
          <w:sz w:val="20"/>
          <w:szCs w:val="20"/>
        </w:rPr>
        <w:t>pitálové příjmy byly v roce 2021 tvořeny</w:t>
      </w:r>
      <w:r w:rsidR="00B74C9D">
        <w:rPr>
          <w:sz w:val="20"/>
          <w:szCs w:val="20"/>
        </w:rPr>
        <w:t>:</w:t>
      </w:r>
    </w:p>
    <w:p w:rsidR="00B74C9D" w:rsidRPr="00B74C9D" w:rsidRDefault="00232AC5" w:rsidP="00461EA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prodejem pozemků</w:t>
      </w:r>
    </w:p>
    <w:p w:rsidR="00B74C9D" w:rsidRDefault="00232AC5" w:rsidP="00461EA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prodejem osobního automobilu </w:t>
      </w:r>
    </w:p>
    <w:p w:rsidR="00232AC5" w:rsidRDefault="00232AC5" w:rsidP="00461EA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dary</w:t>
      </w:r>
    </w:p>
    <w:p w:rsidR="00232AC5" w:rsidRDefault="00232AC5" w:rsidP="00232AC5">
      <w:pPr>
        <w:pStyle w:val="Odstavecseseznamem"/>
        <w:spacing w:after="0" w:line="240" w:lineRule="auto"/>
        <w:jc w:val="both"/>
        <w:rPr>
          <w:sz w:val="20"/>
          <w:szCs w:val="20"/>
        </w:rPr>
      </w:pPr>
    </w:p>
    <w:p w:rsidR="00B74C9D" w:rsidRDefault="00B74C9D" w:rsidP="00461EA7">
      <w:pPr>
        <w:spacing w:after="0" w:line="240" w:lineRule="auto"/>
        <w:jc w:val="both"/>
        <w:rPr>
          <w:sz w:val="20"/>
          <w:szCs w:val="20"/>
        </w:rPr>
      </w:pPr>
      <w:r w:rsidRPr="0038373A">
        <w:rPr>
          <w:b/>
          <w:sz w:val="20"/>
          <w:szCs w:val="20"/>
        </w:rPr>
        <w:t>Přijaté transfery (dotace)</w:t>
      </w:r>
      <w:r w:rsidR="00232AC5">
        <w:rPr>
          <w:sz w:val="20"/>
          <w:szCs w:val="20"/>
        </w:rPr>
        <w:t xml:space="preserve"> dosáhly v roce 2021</w:t>
      </w:r>
      <w:r w:rsidR="00A21E2D">
        <w:rPr>
          <w:sz w:val="20"/>
          <w:szCs w:val="20"/>
        </w:rPr>
        <w:t xml:space="preserve"> celkové výše 51.984,11</w:t>
      </w:r>
      <w:r>
        <w:rPr>
          <w:sz w:val="20"/>
          <w:szCs w:val="20"/>
        </w:rPr>
        <w:t xml:space="preserve"> tis. Kč.</w:t>
      </w:r>
      <w:r w:rsidR="00232AC5">
        <w:rPr>
          <w:sz w:val="20"/>
          <w:szCs w:val="20"/>
        </w:rPr>
        <w:t xml:space="preserve"> </w:t>
      </w:r>
      <w:r w:rsidR="00461EA7">
        <w:rPr>
          <w:sz w:val="20"/>
          <w:szCs w:val="20"/>
        </w:rPr>
        <w:t>Neinvestiční transfery ze státního rozpočtu v rámci souhrnného dotačního vztahu (příspěvek na výkon státní správy) dosáhl v ro</w:t>
      </w:r>
      <w:r w:rsidR="00232AC5">
        <w:rPr>
          <w:sz w:val="20"/>
          <w:szCs w:val="20"/>
        </w:rPr>
        <w:t>ce 2021 výše 26.094,70</w:t>
      </w:r>
      <w:r w:rsidR="0004392F">
        <w:rPr>
          <w:sz w:val="20"/>
          <w:szCs w:val="20"/>
        </w:rPr>
        <w:t xml:space="preserve"> tis. Kč.</w:t>
      </w:r>
      <w:r w:rsidR="00DA22BF">
        <w:rPr>
          <w:sz w:val="20"/>
          <w:szCs w:val="20"/>
        </w:rPr>
        <w:t xml:space="preserve"> </w:t>
      </w:r>
      <w:r w:rsidR="00232AC5">
        <w:rPr>
          <w:sz w:val="20"/>
          <w:szCs w:val="20"/>
        </w:rPr>
        <w:t>V roce 2021</w:t>
      </w:r>
      <w:r w:rsidR="00115BED">
        <w:rPr>
          <w:sz w:val="20"/>
          <w:szCs w:val="20"/>
        </w:rPr>
        <w:t xml:space="preserve"> byl čtvrtletně poskytován </w:t>
      </w:r>
      <w:r w:rsidR="003E7DE0">
        <w:rPr>
          <w:sz w:val="20"/>
          <w:szCs w:val="20"/>
        </w:rPr>
        <w:t>nenávr</w:t>
      </w:r>
      <w:r w:rsidR="00115BED">
        <w:rPr>
          <w:sz w:val="20"/>
          <w:szCs w:val="20"/>
        </w:rPr>
        <w:t>atný příspěvek dle zákona č. 95/2021</w:t>
      </w:r>
      <w:r w:rsidR="003E7DE0">
        <w:rPr>
          <w:sz w:val="20"/>
          <w:szCs w:val="20"/>
        </w:rPr>
        <w:t xml:space="preserve"> Sb., o kompenzačním bonusu v souvislosti s krizovými opatřeními s výskytem </w:t>
      </w:r>
      <w:proofErr w:type="spellStart"/>
      <w:r w:rsidR="003E7DE0">
        <w:rPr>
          <w:sz w:val="20"/>
          <w:szCs w:val="20"/>
        </w:rPr>
        <w:t>koronavi</w:t>
      </w:r>
      <w:r w:rsidR="00115BED">
        <w:rPr>
          <w:sz w:val="20"/>
          <w:szCs w:val="20"/>
        </w:rPr>
        <w:t>ru</w:t>
      </w:r>
      <w:proofErr w:type="spellEnd"/>
      <w:r w:rsidR="00115BED">
        <w:rPr>
          <w:sz w:val="20"/>
          <w:szCs w:val="20"/>
        </w:rPr>
        <w:t xml:space="preserve"> SARS Cov-2 v celkové výši</w:t>
      </w:r>
      <w:r w:rsidR="003E7DE0">
        <w:rPr>
          <w:sz w:val="20"/>
          <w:szCs w:val="20"/>
        </w:rPr>
        <w:t xml:space="preserve"> </w:t>
      </w:r>
      <w:r w:rsidR="00115BED">
        <w:rPr>
          <w:sz w:val="20"/>
          <w:szCs w:val="20"/>
        </w:rPr>
        <w:t xml:space="preserve">1.620,03 tis. </w:t>
      </w:r>
      <w:r w:rsidR="003E7DE0">
        <w:rPr>
          <w:sz w:val="20"/>
          <w:szCs w:val="20"/>
        </w:rPr>
        <w:t>Kč.</w:t>
      </w:r>
      <w:r w:rsidR="00D96E11">
        <w:rPr>
          <w:sz w:val="20"/>
          <w:szCs w:val="20"/>
        </w:rPr>
        <w:t xml:space="preserve"> </w:t>
      </w:r>
      <w:r w:rsidR="0002197A">
        <w:rPr>
          <w:sz w:val="20"/>
          <w:szCs w:val="20"/>
        </w:rPr>
        <w:t>Podrobný přehled dotací v kapitole 4.</w:t>
      </w:r>
    </w:p>
    <w:p w:rsidR="00A21E2D" w:rsidRDefault="00A21E2D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 rámci přijatých transferů jsou zařazeny i položky transfery od obcí a převody z fondu vedlejší hospodářské činnosti.</w:t>
      </w:r>
    </w:p>
    <w:p w:rsidR="0002197A" w:rsidRDefault="0002197A" w:rsidP="00461EA7">
      <w:pPr>
        <w:spacing w:after="0" w:line="240" w:lineRule="auto"/>
        <w:jc w:val="both"/>
        <w:rPr>
          <w:sz w:val="20"/>
          <w:szCs w:val="20"/>
        </w:rPr>
      </w:pPr>
    </w:p>
    <w:p w:rsidR="0002197A" w:rsidRDefault="006D73AE" w:rsidP="00461EA7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Vyhodnocení rozpočtu za rok 2021</w:t>
      </w:r>
      <w:r w:rsidR="00B50431" w:rsidRPr="00B50431">
        <w:rPr>
          <w:b/>
          <w:sz w:val="20"/>
          <w:szCs w:val="20"/>
        </w:rPr>
        <w:t xml:space="preserve"> </w:t>
      </w:r>
      <w:r w:rsidR="00651235">
        <w:rPr>
          <w:b/>
          <w:sz w:val="20"/>
          <w:szCs w:val="20"/>
        </w:rPr>
        <w:t>–</w:t>
      </w:r>
      <w:r w:rsidR="00B50431" w:rsidRPr="00B50431">
        <w:rPr>
          <w:b/>
          <w:sz w:val="20"/>
          <w:szCs w:val="20"/>
        </w:rPr>
        <w:t xml:space="preserve"> příjmy</w:t>
      </w:r>
      <w:r w:rsidR="00651235">
        <w:rPr>
          <w:b/>
          <w:sz w:val="20"/>
          <w:szCs w:val="20"/>
        </w:rPr>
        <w:t xml:space="preserve"> v (tis. Kč)</w:t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3451"/>
        <w:gridCol w:w="1278"/>
        <w:gridCol w:w="1159"/>
        <w:gridCol w:w="1167"/>
        <w:gridCol w:w="1376"/>
      </w:tblGrid>
      <w:tr w:rsidR="000C6FD9" w:rsidRPr="000C6FD9" w:rsidTr="000C6FD9">
        <w:trPr>
          <w:trHeight w:val="276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Skutečnost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86241E" w:rsidP="000C6F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UR</w:t>
            </w:r>
            <w:r w:rsidR="001203EC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 - skutečnost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schválený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upravený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1203E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C6FD9" w:rsidRPr="000C6FD9" w:rsidTr="000C6FD9">
        <w:trPr>
          <w:trHeight w:val="276"/>
        </w:trPr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Daňové příjmy  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příjmů fyzických osob placená plátci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26 512,00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19 512,00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20 057,56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-545,56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příjmů fyzických osob placená poplatníky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683,50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1 225,10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-541,60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příjmů fyzických osob vybíraná srážkou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2 236,00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2 836,00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3 175,96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-339,96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lastRenderedPageBreak/>
              <w:t>1121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příjmů právnických osob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13 821,00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22 821,00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26 802,23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-3 981,23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1122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příjmů právnických osob za obce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5 337,50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5 337,49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0,01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1211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přidané hodnoty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46 248,00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52 248,00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59 890,64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-7 642,64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1334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Odvody za odnětí půdy ze </w:t>
            </w:r>
            <w:proofErr w:type="gramStart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zem</w:t>
            </w:r>
            <w:proofErr w:type="gramEnd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půdního fondu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181,00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1337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Poplatek za komunální odpad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3 800,00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4 057,78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-257,78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1341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Poplatek ze psů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144,56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-4,56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1343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Poplatek za užívání veřejného prostranství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117,21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-17,21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1353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za ZOZ od žadatelů o řidičské oprávnění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393,50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-243,50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1356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Příjmy úhrad za dobývání nerostů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105,40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105,42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-0,02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1361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Správní poplatky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3 030,00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3 330,20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4 682,65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-1 352,45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1381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Daň z hazardních her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835,90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882,39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-46,49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1383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Zrušený odvod z výherních hracích přístrojů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1,00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1385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Dílčí daň z technických her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6 000,00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7 540,31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-1 540,31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Daň z nemovitých věcí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10 500,00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10 500,00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11 675,58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-1 175,58</w:t>
            </w:r>
          </w:p>
        </w:tc>
      </w:tr>
      <w:tr w:rsidR="000C6FD9" w:rsidRPr="000C6FD9" w:rsidTr="000C6FD9">
        <w:trPr>
          <w:trHeight w:val="276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Daňové příjmy celkem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114 038,00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128 650,50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146 157,38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-17 506,88</w:t>
            </w:r>
          </w:p>
        </w:tc>
      </w:tr>
      <w:tr w:rsidR="000C6FD9" w:rsidRPr="000C6FD9" w:rsidTr="000C6FD9">
        <w:trPr>
          <w:trHeight w:val="276"/>
        </w:trPr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Nedaňové příjmy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poskytování služeb a výrobků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1 928,10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1 528,10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2 044,13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-516,03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2119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Ostatní příjmy z vlastní činnosti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39,75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-9,75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2122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Odvody z investičního fondu PO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205,80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205,72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0,09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2131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pronájmu pozemků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1 251,94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48,06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2132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pronájmu ostatních nemovitých věcí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14 812,40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14 812,40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15 994,02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-1 181,62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2139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pronájmu ostatních nemovitých věcí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19,64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0,36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2141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úroků (část)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2,10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2,52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-0,42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2143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Kursové rozdíly v příjmech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6,83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-5,53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Sankční platby přijaté od jiných subjektů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8 933,00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7 944,20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8 366,39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-422,19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2229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Ostatní přijaté vratky transferů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327,60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327,37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0,23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2324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Přijaté nekapitálové příspěvky a náhrady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5,19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-2,79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2322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Přijaté pojistné plnění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54,30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67,41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-13,11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2328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Neidentifikované příjmy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0,35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-0,35</w:t>
            </w:r>
          </w:p>
        </w:tc>
      </w:tr>
      <w:tr w:rsidR="000C6FD9" w:rsidRPr="000C6FD9" w:rsidTr="000C6FD9">
        <w:trPr>
          <w:trHeight w:val="276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Nedaňové příjmy celkem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27 025,50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26 228,20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28 331,24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-2 103,04</w:t>
            </w:r>
          </w:p>
        </w:tc>
      </w:tr>
      <w:tr w:rsidR="000C6FD9" w:rsidRPr="000C6FD9" w:rsidTr="000C6FD9">
        <w:trPr>
          <w:trHeight w:val="276"/>
        </w:trPr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Kapitálové příjmy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3111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z prodeje pozemků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1 157,02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-957,02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3113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E0114F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</w:t>
            </w:r>
            <w:r w:rsidR="000C6FD9"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</w:t>
            </w:r>
            <w:proofErr w:type="spellEnd"/>
            <w:r w:rsidR="000C6FD9"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projede ostat. dl. majetku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3121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Dary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75,40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75,40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0C6FD9" w:rsidRPr="000C6FD9" w:rsidTr="000C6FD9">
        <w:trPr>
          <w:trHeight w:val="276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Kapitálové příjmy celkem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279,40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1 236,42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noWrap/>
            <w:vAlign w:val="center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-957,02</w:t>
            </w:r>
          </w:p>
        </w:tc>
      </w:tr>
      <w:tr w:rsidR="000C6FD9" w:rsidRPr="000C6FD9" w:rsidTr="000C6FD9">
        <w:trPr>
          <w:trHeight w:val="276"/>
        </w:trPr>
        <w:tc>
          <w:tcPr>
            <w:tcW w:w="9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Přijaté transfery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proofErr w:type="spellStart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Nein</w:t>
            </w:r>
            <w:proofErr w:type="spellEnd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. přijaté transfery z </w:t>
            </w:r>
            <w:proofErr w:type="spellStart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všeob</w:t>
            </w:r>
            <w:proofErr w:type="spellEnd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pokl</w:t>
            </w:r>
            <w:proofErr w:type="spellEnd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správy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1 795,00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1 795,03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-0,03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proofErr w:type="spellStart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Neinv</w:t>
            </w:r>
            <w:proofErr w:type="spellEnd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. přijaté transfery - souhrnný </w:t>
            </w:r>
            <w:proofErr w:type="spellStart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</w:t>
            </w:r>
            <w:proofErr w:type="spellEnd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vztah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26 094,70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26 094,70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26 094,70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Neinvestiční přijaté transfery ze státních fondů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326,10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326,03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0,07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Ostatní </w:t>
            </w:r>
            <w:proofErr w:type="spellStart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neinv</w:t>
            </w:r>
            <w:proofErr w:type="spellEnd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přijaté transfery ze SR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4 469,00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12 128,40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11 767,85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360,55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4121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proofErr w:type="spellStart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Neinv</w:t>
            </w:r>
            <w:proofErr w:type="spellEnd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transfery od obcí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533,70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560,90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615,56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-54,66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4122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Neinvestiční přijaté transfery - JMK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696,00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695,98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0,02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4131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Převody z vlastních fondů (podnikatelská činnost)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4 744,82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-4 744,82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4213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Investiční přijaté transfery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182,30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182,26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0,05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4216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Ostatní investiční přijaté trans. </w:t>
            </w:r>
            <w:proofErr w:type="gramStart"/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ze stát. rozpočtu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5 262,90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5 262,89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0,01</w:t>
            </w:r>
          </w:p>
        </w:tc>
      </w:tr>
      <w:tr w:rsidR="000C6FD9" w:rsidRPr="000C6FD9" w:rsidTr="000C6FD9">
        <w:trPr>
          <w:trHeight w:val="276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4222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Ostatní investiční přijaté transakce - JMK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499,00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499,00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0C6FD9" w:rsidRPr="000C6FD9" w:rsidTr="000C6FD9">
        <w:trPr>
          <w:trHeight w:val="276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Přijaté transfery celkem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31 097,40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47 545,30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51 984,11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-4 438,81</w:t>
            </w:r>
          </w:p>
        </w:tc>
      </w:tr>
      <w:tr w:rsidR="000C6FD9" w:rsidRPr="000C6FD9" w:rsidTr="000C6FD9">
        <w:trPr>
          <w:trHeight w:val="276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Příjmy celkem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172 360,90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202 703,40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227 709,15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6FD9" w:rsidRPr="000C6FD9" w:rsidRDefault="000C6FD9" w:rsidP="000C6FD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0C6FD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-25 005,75</w:t>
            </w:r>
          </w:p>
        </w:tc>
      </w:tr>
    </w:tbl>
    <w:p w:rsidR="000C6FD9" w:rsidRPr="00B50431" w:rsidRDefault="000C6FD9" w:rsidP="00461EA7">
      <w:pPr>
        <w:spacing w:after="0" w:line="240" w:lineRule="auto"/>
        <w:jc w:val="both"/>
        <w:rPr>
          <w:b/>
          <w:sz w:val="20"/>
          <w:szCs w:val="20"/>
        </w:rPr>
      </w:pPr>
    </w:p>
    <w:p w:rsidR="00DB02DC" w:rsidRPr="004C71B1" w:rsidRDefault="00115BED" w:rsidP="00DB02D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Komentář k plnění výdajů</w:t>
      </w:r>
    </w:p>
    <w:p w:rsidR="00DB02DC" w:rsidRDefault="006F6DE3" w:rsidP="00DB02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Celkové skutečné výdaje za </w:t>
      </w:r>
      <w:r w:rsidR="00115BED">
        <w:rPr>
          <w:sz w:val="20"/>
          <w:szCs w:val="20"/>
        </w:rPr>
        <w:t>rok 2021 dosáhly výše 245.855,31</w:t>
      </w:r>
      <w:r>
        <w:rPr>
          <w:sz w:val="20"/>
          <w:szCs w:val="20"/>
        </w:rPr>
        <w:t xml:space="preserve"> tis. K</w:t>
      </w:r>
      <w:r w:rsidR="00115BED">
        <w:rPr>
          <w:sz w:val="20"/>
          <w:szCs w:val="20"/>
        </w:rPr>
        <w:t>č.</w:t>
      </w:r>
    </w:p>
    <w:p w:rsidR="009E0449" w:rsidRDefault="009E0449" w:rsidP="00DB02DC">
      <w:pPr>
        <w:spacing w:after="0" w:line="240" w:lineRule="auto"/>
        <w:jc w:val="both"/>
        <w:rPr>
          <w:sz w:val="20"/>
          <w:szCs w:val="20"/>
        </w:rPr>
      </w:pPr>
    </w:p>
    <w:p w:rsidR="009E0449" w:rsidRPr="009E0449" w:rsidRDefault="009E0449" w:rsidP="00DB02DC">
      <w:pPr>
        <w:spacing w:after="0" w:line="240" w:lineRule="auto"/>
        <w:jc w:val="both"/>
        <w:rPr>
          <w:b/>
          <w:sz w:val="20"/>
          <w:szCs w:val="20"/>
        </w:rPr>
      </w:pPr>
      <w:r w:rsidRPr="009E0449">
        <w:rPr>
          <w:b/>
          <w:sz w:val="20"/>
          <w:szCs w:val="20"/>
        </w:rPr>
        <w:t>Struktura výdajů v roce 2021 (v Kč)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985"/>
        <w:gridCol w:w="1559"/>
        <w:gridCol w:w="1701"/>
        <w:gridCol w:w="1701"/>
      </w:tblGrid>
      <w:tr w:rsidR="009E0449" w:rsidRPr="009E0449" w:rsidTr="009E0449">
        <w:trPr>
          <w:trHeight w:val="28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SR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Skutečnost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UR-Skutečnost</w:t>
            </w:r>
          </w:p>
        </w:tc>
      </w:tr>
      <w:tr w:rsidR="009E0449" w:rsidRPr="009E0449" w:rsidTr="009E0449">
        <w:trPr>
          <w:trHeight w:val="2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Výdaje běžné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136 877 500,00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152 687 600,00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141 198 992,04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11 488 607,96</w:t>
            </w:r>
          </w:p>
        </w:tc>
      </w:tr>
      <w:tr w:rsidR="009E0449" w:rsidRPr="009E0449" w:rsidTr="009E0449">
        <w:trPr>
          <w:trHeight w:val="2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Výdaje kapitálové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94 750 000,00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130 042 800,00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104 656 321,08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25 386 478,92</w:t>
            </w:r>
          </w:p>
        </w:tc>
      </w:tr>
      <w:tr w:rsidR="009E0449" w:rsidRPr="009E0449" w:rsidTr="009E0449">
        <w:trPr>
          <w:trHeight w:val="2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Výdaje celkem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231 627 500,00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282 730 400,00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245 855 313,12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449" w:rsidRPr="009E0449" w:rsidRDefault="009E0449" w:rsidP="009E0449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E0449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36 875 086,88</w:t>
            </w:r>
          </w:p>
        </w:tc>
      </w:tr>
    </w:tbl>
    <w:p w:rsidR="009E0449" w:rsidRDefault="009E0449" w:rsidP="00DB02DC">
      <w:pPr>
        <w:spacing w:after="0" w:line="240" w:lineRule="auto"/>
        <w:jc w:val="both"/>
        <w:rPr>
          <w:sz w:val="20"/>
          <w:szCs w:val="20"/>
        </w:rPr>
      </w:pPr>
    </w:p>
    <w:p w:rsidR="00115BED" w:rsidRDefault="00115BED" w:rsidP="00DB02DC">
      <w:pPr>
        <w:spacing w:after="0" w:line="240" w:lineRule="auto"/>
        <w:jc w:val="both"/>
        <w:rPr>
          <w:sz w:val="20"/>
          <w:szCs w:val="20"/>
        </w:rPr>
      </w:pPr>
    </w:p>
    <w:p w:rsidR="005F0219" w:rsidRDefault="00115BED" w:rsidP="00DB02DC">
      <w:pPr>
        <w:spacing w:after="0" w:line="240" w:lineRule="auto"/>
        <w:jc w:val="both"/>
        <w:rPr>
          <w:sz w:val="20"/>
          <w:szCs w:val="20"/>
        </w:rPr>
      </w:pPr>
      <w:r w:rsidRPr="00115BED">
        <w:rPr>
          <w:b/>
          <w:sz w:val="20"/>
          <w:szCs w:val="20"/>
        </w:rPr>
        <w:t>Běžné výdaje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dosáhly v roce 2021 výše</w:t>
      </w:r>
      <w:r w:rsidR="005F0219">
        <w:rPr>
          <w:sz w:val="20"/>
          <w:szCs w:val="20"/>
        </w:rPr>
        <w:t xml:space="preserve"> 141.198,99 tis. Kč. Nejvyšší část běžných výdajů tvoří výdaje na ORJ 80 – Městský ú</w:t>
      </w:r>
      <w:r w:rsidR="00C16871">
        <w:rPr>
          <w:sz w:val="20"/>
          <w:szCs w:val="20"/>
        </w:rPr>
        <w:t>řad ve výši 45.076,75 tis. Kč a ORJ 30</w:t>
      </w:r>
      <w:r w:rsidR="005F0219">
        <w:rPr>
          <w:sz w:val="20"/>
          <w:szCs w:val="20"/>
        </w:rPr>
        <w:t xml:space="preserve"> – Finančn</w:t>
      </w:r>
      <w:r w:rsidR="00C16871">
        <w:rPr>
          <w:sz w:val="20"/>
          <w:szCs w:val="20"/>
        </w:rPr>
        <w:t>í odbor ve výši 50.757</w:t>
      </w:r>
      <w:r w:rsidR="005F0219">
        <w:rPr>
          <w:sz w:val="20"/>
          <w:szCs w:val="20"/>
        </w:rPr>
        <w:t>,96 tis Kč</w:t>
      </w:r>
      <w:r w:rsidR="00C16871">
        <w:rPr>
          <w:sz w:val="20"/>
          <w:szCs w:val="20"/>
        </w:rPr>
        <w:t xml:space="preserve"> včetně příspěvků pro zřízené příspěvkové organizace (samostatná tabulka níže).</w:t>
      </w:r>
    </w:p>
    <w:p w:rsidR="009E0449" w:rsidRDefault="009E0449" w:rsidP="00DB02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Čerpání běžných výdajů za rok 2021 bylo o 11.488,6 tis. Kč nižší než upravený rozpočet města.</w:t>
      </w:r>
    </w:p>
    <w:p w:rsidR="00352044" w:rsidRDefault="00352044" w:rsidP="009145FF">
      <w:pPr>
        <w:spacing w:after="0" w:line="240" w:lineRule="auto"/>
        <w:jc w:val="both"/>
        <w:rPr>
          <w:b/>
          <w:sz w:val="20"/>
          <w:szCs w:val="20"/>
        </w:rPr>
      </w:pPr>
    </w:p>
    <w:p w:rsidR="009145FF" w:rsidRDefault="00F61E9B" w:rsidP="009145FF">
      <w:pPr>
        <w:spacing w:after="0" w:line="240" w:lineRule="auto"/>
        <w:jc w:val="both"/>
        <w:rPr>
          <w:sz w:val="20"/>
          <w:szCs w:val="20"/>
        </w:rPr>
      </w:pPr>
      <w:r w:rsidRPr="00F61E9B">
        <w:rPr>
          <w:b/>
          <w:sz w:val="20"/>
          <w:szCs w:val="20"/>
        </w:rPr>
        <w:t>Kapitálové výdaje</w:t>
      </w:r>
      <w:r w:rsidR="009E0449">
        <w:rPr>
          <w:sz w:val="20"/>
          <w:szCs w:val="20"/>
        </w:rPr>
        <w:t xml:space="preserve"> dosáhly v roce 2021 výše 104.656,32 tis. Kč. Čerpání kapitálových za rok 2021 bylo o 25.386,48 tis. Kč ni</w:t>
      </w:r>
      <w:r w:rsidR="00352044">
        <w:rPr>
          <w:sz w:val="20"/>
          <w:szCs w:val="20"/>
        </w:rPr>
        <w:t>žší než upravený rozpočet města (viz tabulka Plnění rozpočtu v členění dle závazných ukazatelů – část kapitálové výdaje).</w:t>
      </w:r>
    </w:p>
    <w:p w:rsidR="00B363CD" w:rsidRDefault="009E0449" w:rsidP="00DB02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Komentář</w:t>
      </w:r>
      <w:r w:rsidR="00B363CD">
        <w:rPr>
          <w:sz w:val="20"/>
          <w:szCs w:val="20"/>
        </w:rPr>
        <w:t xml:space="preserve"> k neuskutečněným</w:t>
      </w:r>
      <w:r w:rsidR="00C16871">
        <w:rPr>
          <w:sz w:val="20"/>
          <w:szCs w:val="20"/>
        </w:rPr>
        <w:t xml:space="preserve"> investičním výdajům v roce 2021</w:t>
      </w:r>
      <w:r w:rsidR="00B363CD">
        <w:rPr>
          <w:sz w:val="20"/>
          <w:szCs w:val="20"/>
        </w:rPr>
        <w:t>:</w:t>
      </w:r>
    </w:p>
    <w:p w:rsidR="00290659" w:rsidRDefault="00400349" w:rsidP="002906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Položka – Svazková škola – výdaje spojené s přípravou budoucí svazkové školy jsou výdaji DSO Dr. Kounice, z tohoto důvodu byla částka převedena z rozpočtu odboru IR do rozpočtu FO jako investiční vklad města do DSO Dr. Kounice</w:t>
      </w:r>
      <w:r w:rsidR="00E0114F">
        <w:rPr>
          <w:sz w:val="20"/>
          <w:szCs w:val="20"/>
        </w:rPr>
        <w:t>.</w:t>
      </w:r>
    </w:p>
    <w:p w:rsidR="00400349" w:rsidRPr="00290659" w:rsidRDefault="00400349" w:rsidP="002906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Položka – PD Napoleonská expozice – v roce 2021 byla řešena autorská práva a nebylo možné tuto projektovou dokumentaci zadat</w:t>
      </w:r>
      <w:r w:rsidR="00E0114F">
        <w:rPr>
          <w:sz w:val="20"/>
          <w:szCs w:val="20"/>
        </w:rPr>
        <w:t>.</w:t>
      </w:r>
    </w:p>
    <w:p w:rsidR="00290659" w:rsidRDefault="00400349" w:rsidP="002906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Položka – Veřejná architektonická soutěž SCB – v roce 2021 nedošlo k vyhlášení této soutěže</w:t>
      </w:r>
      <w:r w:rsidR="00E0114F">
        <w:rPr>
          <w:sz w:val="20"/>
          <w:szCs w:val="20"/>
        </w:rPr>
        <w:t>.</w:t>
      </w:r>
    </w:p>
    <w:p w:rsidR="00400349" w:rsidRPr="00290659" w:rsidRDefault="00400349" w:rsidP="002906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Položka – Elektroinstalace budova 64 – v roce 2021 byla uzavřena smlouva o dílo a na konci roku započaly práce, faktura</w:t>
      </w:r>
      <w:r w:rsidR="00D1136D">
        <w:rPr>
          <w:sz w:val="20"/>
          <w:szCs w:val="20"/>
        </w:rPr>
        <w:t>ce</w:t>
      </w:r>
      <w:r>
        <w:rPr>
          <w:sz w:val="20"/>
          <w:szCs w:val="20"/>
        </w:rPr>
        <w:t xml:space="preserve"> však proběhla až v roce 2022</w:t>
      </w:r>
      <w:r w:rsidR="00E0114F">
        <w:rPr>
          <w:sz w:val="20"/>
          <w:szCs w:val="20"/>
        </w:rPr>
        <w:t>.</w:t>
      </w:r>
    </w:p>
    <w:p w:rsidR="00290659" w:rsidRDefault="00400349" w:rsidP="002906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Položka - </w:t>
      </w:r>
      <w:r w:rsidR="00290659" w:rsidRPr="00290659">
        <w:rPr>
          <w:sz w:val="20"/>
          <w:szCs w:val="20"/>
        </w:rPr>
        <w:t xml:space="preserve">Radar </w:t>
      </w:r>
      <w:r>
        <w:rPr>
          <w:sz w:val="20"/>
          <w:szCs w:val="20"/>
        </w:rPr>
        <w:t xml:space="preserve">- Velešovice – v roce 2021 </w:t>
      </w:r>
      <w:r w:rsidR="00290659" w:rsidRPr="00290659">
        <w:rPr>
          <w:sz w:val="20"/>
          <w:szCs w:val="20"/>
        </w:rPr>
        <w:t>byla zajištěna stanoviska dotčený</w:t>
      </w:r>
      <w:r>
        <w:rPr>
          <w:sz w:val="20"/>
          <w:szCs w:val="20"/>
        </w:rPr>
        <w:t xml:space="preserve">ch orgánů státní správy a podepsána smlouva o dílo. </w:t>
      </w:r>
      <w:r w:rsidR="00D1136D">
        <w:rPr>
          <w:sz w:val="20"/>
          <w:szCs w:val="20"/>
        </w:rPr>
        <w:t>Kvůli klimatickým podmínkám</w:t>
      </w:r>
      <w:r>
        <w:rPr>
          <w:sz w:val="20"/>
          <w:szCs w:val="20"/>
        </w:rPr>
        <w:t xml:space="preserve"> byly práce provedeny až v roce 2022.</w:t>
      </w:r>
    </w:p>
    <w:p w:rsidR="00400349" w:rsidRPr="00290659" w:rsidRDefault="00400349" w:rsidP="0029065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Položka – V 109 – rozvoj komunikace s občany – jedná se o výdaj spojený s dotací. V roce 2021 nebyla část dotace týkající se kapitálových výdajů realizována. Finanční prostředky byly převedeny do rozpočtu pro rok 2022.</w:t>
      </w:r>
    </w:p>
    <w:p w:rsidR="00C16871" w:rsidRDefault="00C16871" w:rsidP="00C16871">
      <w:pPr>
        <w:spacing w:after="0" w:line="240" w:lineRule="auto"/>
        <w:jc w:val="both"/>
        <w:rPr>
          <w:sz w:val="20"/>
          <w:szCs w:val="20"/>
        </w:rPr>
      </w:pPr>
    </w:p>
    <w:p w:rsidR="00C16871" w:rsidRDefault="00C16871" w:rsidP="00C1687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Podrobné plnění příjmů a</w:t>
      </w:r>
      <w:r w:rsidR="009F46EC">
        <w:rPr>
          <w:sz w:val="20"/>
          <w:szCs w:val="20"/>
        </w:rPr>
        <w:t xml:space="preserve"> výdajů je p</w:t>
      </w:r>
      <w:r w:rsidR="00E0114F">
        <w:rPr>
          <w:sz w:val="20"/>
          <w:szCs w:val="20"/>
        </w:rPr>
        <w:t>řílohou této zprávy</w:t>
      </w:r>
      <w:r w:rsidR="009F46EC">
        <w:rPr>
          <w:sz w:val="20"/>
          <w:szCs w:val="20"/>
        </w:rPr>
        <w:t xml:space="preserve"> (název přílohy – Rozpočet – vyhodnocení – příjmy, Rozpočet – vyhodnocení – výdaje)</w:t>
      </w:r>
      <w:r w:rsidR="00FA1C44">
        <w:rPr>
          <w:sz w:val="20"/>
          <w:szCs w:val="20"/>
        </w:rPr>
        <w:t>. Plnění rozpočtu dle rozpočtové skladby je přílohou této zprávy.</w:t>
      </w:r>
    </w:p>
    <w:p w:rsidR="00353C9C" w:rsidRDefault="00353C9C" w:rsidP="00C16871">
      <w:pPr>
        <w:spacing w:after="0" w:line="240" w:lineRule="auto"/>
        <w:jc w:val="both"/>
        <w:rPr>
          <w:sz w:val="20"/>
          <w:szCs w:val="20"/>
        </w:rPr>
      </w:pPr>
    </w:p>
    <w:p w:rsidR="00353C9C" w:rsidRDefault="00353C9C" w:rsidP="00C16871">
      <w:pPr>
        <w:spacing w:after="0" w:line="240" w:lineRule="auto"/>
        <w:jc w:val="both"/>
        <w:rPr>
          <w:b/>
          <w:sz w:val="20"/>
          <w:szCs w:val="20"/>
        </w:rPr>
      </w:pPr>
      <w:r w:rsidRPr="00353C9C">
        <w:rPr>
          <w:b/>
          <w:sz w:val="20"/>
          <w:szCs w:val="20"/>
        </w:rPr>
        <w:t>Plnění rozpočtu u vybraných činností</w:t>
      </w:r>
      <w:r w:rsidR="00C67CAD">
        <w:rPr>
          <w:b/>
          <w:sz w:val="20"/>
          <w:szCs w:val="20"/>
        </w:rPr>
        <w:t xml:space="preserve"> v roce 2021</w:t>
      </w:r>
    </w:p>
    <w:p w:rsidR="00C67CAD" w:rsidRDefault="00C67CAD" w:rsidP="00C16871">
      <w:pPr>
        <w:spacing w:after="0" w:line="240" w:lineRule="auto"/>
        <w:jc w:val="both"/>
        <w:rPr>
          <w:b/>
          <w:sz w:val="20"/>
          <w:szCs w:val="20"/>
        </w:rPr>
      </w:pPr>
    </w:p>
    <w:p w:rsidR="00C67CAD" w:rsidRPr="00C16871" w:rsidRDefault="00C67CAD" w:rsidP="00C67CAD">
      <w:pPr>
        <w:spacing w:after="0" w:line="240" w:lineRule="auto"/>
        <w:jc w:val="both"/>
        <w:rPr>
          <w:b/>
          <w:sz w:val="20"/>
          <w:szCs w:val="20"/>
        </w:rPr>
      </w:pPr>
      <w:r w:rsidRPr="00C16871">
        <w:rPr>
          <w:b/>
          <w:sz w:val="20"/>
          <w:szCs w:val="20"/>
        </w:rPr>
        <w:t>Příspěvky zřízeným příspěvkovým organizacím za rok 2021 (v tis. Kč)</w:t>
      </w:r>
    </w:p>
    <w:tbl>
      <w:tblPr>
        <w:tblW w:w="8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1300"/>
        <w:gridCol w:w="1300"/>
        <w:gridCol w:w="1300"/>
      </w:tblGrid>
      <w:tr w:rsidR="00C67CAD" w:rsidRPr="005F0219" w:rsidTr="00C67CAD">
        <w:trPr>
          <w:trHeight w:val="456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UR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Stav k </w:t>
            </w:r>
            <w:proofErr w:type="gramStart"/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31.12.2021</w:t>
            </w:r>
            <w:proofErr w:type="gramEnd"/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FO - MŠ </w:t>
            </w:r>
            <w:proofErr w:type="spellStart"/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Zvídálek</w:t>
            </w:r>
            <w:proofErr w:type="spellEnd"/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provoz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1 348,0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FO - Průtoková dotace MŠ </w:t>
            </w:r>
            <w:proofErr w:type="spellStart"/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Zvídálek</w:t>
            </w:r>
            <w:proofErr w:type="spellEnd"/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Šablony 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503,9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Mateřská škola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1 348,0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1 852,0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1 851,9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ZŠ Tyršova - provoz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2 891,0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2 891,0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2 891,0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Průtoková dotace ZŠ Tyršova - Šablony 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845,8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845,8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Základní škola Tyršova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2 891,0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3 736,8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3 736,8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ZŠ Komenského - provoz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3 775,0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3 775,0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3 775,0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ZŠ Komenského  ÚNP - jídelna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1 395,0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1 395,0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Průtoková dotace ZŠ Komenského - Šablony 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1 127,3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1 127,2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IÚP - ZŠ</w:t>
            </w:r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Komenského - multifunkční pánev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800,0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UNP - ZŠ Komenského - odpisy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55,7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lastRenderedPageBreak/>
              <w:t xml:space="preserve">Základní škola Komenského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5 170,0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7 153,1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7 152,9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Základní umělecká škola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250,0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Dům dětí a mládeže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250,0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ZS-A - provoz + odpisy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11 230,0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11 230,0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11 230,0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ZS-A ÚNP - Vzpomínkové akce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FO - ZS-A ÚNP - </w:t>
            </w:r>
            <w:proofErr w:type="spellStart"/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Concentus</w:t>
            </w:r>
            <w:proofErr w:type="spellEnd"/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Moraviae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ZS-A ÚNP - Dny Slavkova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Průtokové dotace ZS-A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1 683,9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1 683,9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ZS-A ÚIP - úvěr WC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Zámek Slavkov-</w:t>
            </w:r>
            <w:proofErr w:type="spellStart"/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Austerlitz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13 683,9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13 683,9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TSMS - provoz + odpisy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19 500,0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19 500,0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TSMS ÚNP -  ošetření stromů (stromy pod kontrolou)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FO - TSMS ÚNP -  náhradní čtyřletá péče - Obnova </w:t>
            </w:r>
            <w:proofErr w:type="spellStart"/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zám</w:t>
            </w:r>
            <w:proofErr w:type="spellEnd"/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. parku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TSMS ÚNP - pasportizace stromů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 - TSMS ÚNP - kanalizace (dešťové vpusti)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Technické služby města Slavkov u Brna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19 950,0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20 150,0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20 150,0</w:t>
            </w:r>
          </w:p>
        </w:tc>
      </w:tr>
      <w:tr w:rsidR="00C67CAD" w:rsidRPr="005F0219" w:rsidTr="00C67CAD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Příspěvky zřízeným PO 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41 859,000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47 075,800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67CAD" w:rsidRPr="005F0219" w:rsidRDefault="00C67CAD" w:rsidP="00C67CA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5F021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47 075,504</w:t>
            </w:r>
          </w:p>
        </w:tc>
      </w:tr>
    </w:tbl>
    <w:p w:rsidR="000C6FD9" w:rsidRDefault="000C6FD9" w:rsidP="00C16871">
      <w:pPr>
        <w:spacing w:after="0" w:line="240" w:lineRule="auto"/>
        <w:jc w:val="both"/>
        <w:rPr>
          <w:b/>
          <w:sz w:val="20"/>
          <w:szCs w:val="20"/>
        </w:rPr>
      </w:pPr>
    </w:p>
    <w:p w:rsidR="00F308F0" w:rsidRPr="00353C9C" w:rsidRDefault="00F308F0" w:rsidP="00C16871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Příjmy a výdaje související s úsekovým měřením</w:t>
      </w:r>
      <w:r w:rsidR="00C67CAD">
        <w:rPr>
          <w:b/>
          <w:sz w:val="20"/>
          <w:szCs w:val="20"/>
        </w:rPr>
        <w:t xml:space="preserve"> v roce 2021 (v Kč)</w:t>
      </w: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3233"/>
        <w:gridCol w:w="1480"/>
        <w:gridCol w:w="1905"/>
      </w:tblGrid>
      <w:tr w:rsidR="00F308F0" w:rsidRPr="00F308F0" w:rsidTr="00D1136D">
        <w:trPr>
          <w:trHeight w:val="28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Příjmy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UR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Plnění k 31.</w:t>
            </w:r>
            <w:r w:rsidR="00D1136D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12.</w:t>
            </w:r>
            <w:r w:rsidR="00D1136D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2021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ÚMR - správní řízení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1 750 000,00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2 242 297,00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Radar PČR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75 000,00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84 400,00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ÚMR - úsekové měření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5 000 000,00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4 717 938,00</w:t>
            </w:r>
          </w:p>
        </w:tc>
      </w:tr>
      <w:tr w:rsidR="00F308F0" w:rsidRPr="00F308F0" w:rsidTr="00D1136D">
        <w:trPr>
          <w:trHeight w:val="28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Příjmy 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6 825 000,00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7 044 635,00</w:t>
            </w:r>
          </w:p>
        </w:tc>
      </w:tr>
      <w:tr w:rsidR="00F308F0" w:rsidRPr="00F308F0" w:rsidTr="00D1136D">
        <w:trPr>
          <w:trHeight w:val="288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308F0" w:rsidRPr="00F308F0" w:rsidTr="00D1136D">
        <w:trPr>
          <w:trHeight w:val="28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Výdaje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UR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Čerpání (1-12)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5171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Opravy a udržování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219 971,00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5011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Platy zaměstnanců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2 940 800,00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2 893 269,00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5031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Povinné sociální pojištění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698 900,00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684 576,00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5032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Povinné zdravotní pojištění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262 500,00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254 125,00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5038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Povinné úrazové pojištění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12 300,00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9 427,00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5139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Nákup materiálu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150 000,00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67 008,00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5151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Studená voda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7 992,42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5154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Elektrická energie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130 000,00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89 445,58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5161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Poštovní služby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1 000 000,00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836 749,00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5167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 xml:space="preserve">Služby školení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64 100,00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13 510,00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Ostatní služby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778,08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5199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Převod do FKSP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86 900,00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54 994,00</w:t>
            </w:r>
          </w:p>
        </w:tc>
      </w:tr>
      <w:tr w:rsidR="00F308F0" w:rsidRPr="00F308F0" w:rsidTr="00D1136D">
        <w:trPr>
          <w:trHeight w:val="28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Běžné výdaje 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5 606 500,00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5 131 845,08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6111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Programové vybavení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200 000,00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6121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Radar - Velešovice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5 400 000,00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  <w:t>142 290,00</w:t>
            </w:r>
          </w:p>
        </w:tc>
      </w:tr>
      <w:tr w:rsidR="00F308F0" w:rsidRPr="00F308F0" w:rsidTr="00D1136D">
        <w:trPr>
          <w:trHeight w:val="28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Kap</w:t>
            </w:r>
            <w:r w:rsidR="00E115C5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it</w:t>
            </w: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álové výdaje 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5 600 000,00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142 290,00</w:t>
            </w:r>
          </w:p>
        </w:tc>
      </w:tr>
      <w:tr w:rsidR="00F308F0" w:rsidRPr="00F308F0" w:rsidTr="00D1136D">
        <w:trPr>
          <w:trHeight w:val="28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Výdaje 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11 206 500,00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5 274 135,08</w:t>
            </w:r>
          </w:p>
        </w:tc>
      </w:tr>
      <w:tr w:rsidR="00F308F0" w:rsidRPr="00F308F0" w:rsidTr="00D1136D">
        <w:trPr>
          <w:trHeight w:val="288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F308F0" w:rsidRPr="00F308F0" w:rsidTr="00D1136D">
        <w:trPr>
          <w:trHeight w:val="288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Příjmy - výdaje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-4 381 500,00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08F0" w:rsidRPr="00F308F0" w:rsidRDefault="00F308F0" w:rsidP="00F308F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308F0">
              <w:rPr>
                <w:rFonts w:asciiTheme="majorHAnsi" w:eastAsia="Times New Roman" w:hAnsiTheme="majorHAnsi" w:cs="Calibri"/>
                <w:b/>
                <w:bCs/>
                <w:color w:val="000000"/>
                <w:sz w:val="16"/>
                <w:szCs w:val="16"/>
                <w:lang w:eastAsia="cs-CZ"/>
              </w:rPr>
              <w:t>1 770 499,92</w:t>
            </w:r>
          </w:p>
        </w:tc>
      </w:tr>
    </w:tbl>
    <w:p w:rsidR="00290659" w:rsidRDefault="00290659" w:rsidP="00DB02DC">
      <w:pPr>
        <w:spacing w:after="0" w:line="240" w:lineRule="auto"/>
        <w:jc w:val="both"/>
        <w:rPr>
          <w:sz w:val="20"/>
          <w:szCs w:val="20"/>
        </w:rPr>
      </w:pPr>
    </w:p>
    <w:p w:rsidR="00F308F0" w:rsidRDefault="00F308F0" w:rsidP="00DB02DC">
      <w:pPr>
        <w:spacing w:after="0" w:line="240" w:lineRule="auto"/>
        <w:jc w:val="both"/>
        <w:rPr>
          <w:b/>
          <w:sz w:val="24"/>
          <w:szCs w:val="24"/>
        </w:rPr>
      </w:pPr>
    </w:p>
    <w:p w:rsidR="00F308F0" w:rsidRDefault="00F308F0" w:rsidP="00DB02DC">
      <w:pPr>
        <w:spacing w:after="0" w:line="240" w:lineRule="auto"/>
        <w:jc w:val="both"/>
        <w:rPr>
          <w:b/>
          <w:sz w:val="20"/>
          <w:szCs w:val="20"/>
        </w:rPr>
      </w:pPr>
      <w:r w:rsidRPr="00F308F0">
        <w:rPr>
          <w:b/>
          <w:sz w:val="20"/>
          <w:szCs w:val="20"/>
        </w:rPr>
        <w:t>Příjmy a výdaje související s pronájmem bytů a nebytových prostor</w:t>
      </w:r>
      <w:r w:rsidR="00E115C5">
        <w:rPr>
          <w:b/>
          <w:sz w:val="20"/>
          <w:szCs w:val="20"/>
        </w:rPr>
        <w:t xml:space="preserve"> </w:t>
      </w:r>
      <w:r w:rsidR="00A70F55">
        <w:rPr>
          <w:b/>
          <w:sz w:val="20"/>
          <w:szCs w:val="20"/>
        </w:rPr>
        <w:t xml:space="preserve">(ORJ 43-46) </w:t>
      </w:r>
      <w:r w:rsidR="00E115C5">
        <w:rPr>
          <w:b/>
          <w:sz w:val="20"/>
          <w:szCs w:val="20"/>
        </w:rPr>
        <w:t>v roce 2021 (v Kč)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700"/>
        <w:gridCol w:w="1600"/>
        <w:gridCol w:w="1940"/>
        <w:gridCol w:w="1660"/>
      </w:tblGrid>
      <w:tr w:rsidR="00BD08F4" w:rsidRPr="00BD08F4" w:rsidTr="00BD08F4">
        <w:trPr>
          <w:trHeight w:val="27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SR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UR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Skutečnost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UR-skutečnost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ORJ 43-46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14 735 400,00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14 735 400,00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15 977 416,00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-1 242 016,00</w:t>
            </w:r>
          </w:p>
        </w:tc>
      </w:tr>
      <w:tr w:rsidR="00BD08F4" w:rsidRPr="00BD08F4" w:rsidTr="00BD08F4">
        <w:trPr>
          <w:trHeight w:val="276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Výdaje běžné ORJ 43-46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8 149 000,00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8 149 000,00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6 714 896,00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1 434 104,00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Výdaje kapitálové ORJ 43-46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7 800 000,00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11 300 000,00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7 173 178,00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4 126 822,00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Výdaje celkem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15 949 000,00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19 449 000,00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13 888 074,00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5 560 926,00</w:t>
            </w:r>
          </w:p>
        </w:tc>
      </w:tr>
      <w:tr w:rsidR="00BD08F4" w:rsidRPr="00BD08F4" w:rsidTr="00BD08F4">
        <w:trPr>
          <w:trHeight w:val="276"/>
        </w:trPr>
        <w:tc>
          <w:tcPr>
            <w:tcW w:w="9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Příjmy - výdaje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-1 213 600,00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-4 713 600,00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2 089 342,00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-6 802 942,00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Financování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1 213 600,00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4 713 600,00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-2 089 342,00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6 802 942,00</w:t>
            </w:r>
          </w:p>
        </w:tc>
      </w:tr>
    </w:tbl>
    <w:p w:rsidR="00E115C5" w:rsidRDefault="00E115C5" w:rsidP="00DB02D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0C6FD9" w:rsidRDefault="000C6FD9" w:rsidP="00DB02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52044" w:rsidRDefault="00352044" w:rsidP="00DB02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52044">
        <w:rPr>
          <w:rFonts w:cstheme="minorHAnsi"/>
          <w:b/>
          <w:sz w:val="20"/>
          <w:szCs w:val="20"/>
        </w:rPr>
        <w:t>Příjmy a výdaje u ORJ 43-46</w:t>
      </w:r>
      <w:r>
        <w:rPr>
          <w:rFonts w:cstheme="minorHAnsi"/>
          <w:b/>
          <w:sz w:val="20"/>
          <w:szCs w:val="20"/>
        </w:rPr>
        <w:t xml:space="preserve"> za rok 2021 (v Kč)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1700"/>
        <w:gridCol w:w="1600"/>
        <w:gridCol w:w="1940"/>
        <w:gridCol w:w="1660"/>
      </w:tblGrid>
      <w:tr w:rsidR="00BD08F4" w:rsidRPr="00BD08F4" w:rsidTr="00BD08F4">
        <w:trPr>
          <w:trHeight w:val="46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F4" w:rsidRPr="00BD08F4" w:rsidRDefault="00BD08F4" w:rsidP="00BD0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Příjmy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F4" w:rsidRPr="00BD08F4" w:rsidRDefault="00BD08F4" w:rsidP="00BD0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Běžné výdaje vč. správy ORJ 46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F4" w:rsidRPr="00BD08F4" w:rsidRDefault="00BD08F4" w:rsidP="00BD0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Kapitálové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F4" w:rsidRPr="00BD08F4" w:rsidRDefault="00BD08F4" w:rsidP="00BD08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P-V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ORJ 43 - Byty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11 175 407,00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3 555 732,00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6 768 178,00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851 497,00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ORJ 44 - </w:t>
            </w:r>
            <w:proofErr w:type="spellStart"/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Nebyty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3 252 458,00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1 665 497,00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1 586 961,00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ORJ 45 - Polik</w:t>
            </w:r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l</w:t>
            </w: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inika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1 549 551,00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1 493 667,00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-349 116,00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15 977 416,00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6 714 896,00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7 173 178,00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2 089 342,00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Použití fondu VHČ - dokrytí rozpočtu 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1 213 600,00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1 213 600,00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Použití fondu VHČ - Husova 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3 500 000,00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Financování celkem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4 713 600,00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4 713 600,00</w:t>
            </w:r>
          </w:p>
        </w:tc>
      </w:tr>
      <w:tr w:rsidR="00BD08F4" w:rsidRPr="00BD08F4" w:rsidTr="00BD08F4">
        <w:trPr>
          <w:trHeight w:val="276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Celkem vč. financování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20 691 016,00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6 714 896,00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7 173 178,00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F4" w:rsidRPr="00BD08F4" w:rsidRDefault="00BD08F4" w:rsidP="00BD08F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BD08F4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6 802 942,00</w:t>
            </w:r>
          </w:p>
        </w:tc>
      </w:tr>
    </w:tbl>
    <w:p w:rsidR="002C26AD" w:rsidRDefault="002C26AD" w:rsidP="00DB02D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C26AD">
        <w:rPr>
          <w:rFonts w:cstheme="minorHAnsi"/>
          <w:sz w:val="20"/>
          <w:szCs w:val="20"/>
        </w:rPr>
        <w:t>Město pronajímá 229 bytů.</w:t>
      </w:r>
    </w:p>
    <w:p w:rsidR="002C26AD" w:rsidRPr="002C26AD" w:rsidRDefault="002C26AD" w:rsidP="00DB02D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10EA2" w:rsidRDefault="00C10EA2" w:rsidP="00DB02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Rozdělení rozpočtového výsledku hospodaření vč. financování ORJ 43-46 (v Kč)</w:t>
      </w:r>
    </w:p>
    <w:tbl>
      <w:tblPr>
        <w:tblW w:w="6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600"/>
      </w:tblGrid>
      <w:tr w:rsidR="00C10EA2" w:rsidRPr="00C10EA2" w:rsidTr="00C10EA2">
        <w:trPr>
          <w:trHeight w:val="28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EA2" w:rsidRPr="00C10EA2" w:rsidRDefault="00C10EA2" w:rsidP="00C10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Výsledek rozpočtového hospodaření ORJ 43-46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EA2" w:rsidRPr="00C10EA2" w:rsidRDefault="00C10EA2" w:rsidP="00C10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6 802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942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,00</w:t>
            </w:r>
          </w:p>
        </w:tc>
      </w:tr>
      <w:tr w:rsidR="00C10EA2" w:rsidRPr="00C10EA2" w:rsidTr="00C10EA2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EA2" w:rsidRPr="00C10EA2" w:rsidRDefault="00C10EA2" w:rsidP="00C10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 1 - Husova 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EA2" w:rsidRPr="00C10EA2" w:rsidRDefault="00C10EA2" w:rsidP="00C10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-3 354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000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,00</w:t>
            </w:r>
          </w:p>
        </w:tc>
      </w:tr>
      <w:tr w:rsidR="00C10EA2" w:rsidRPr="00C10EA2" w:rsidTr="00C10EA2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EA2" w:rsidRPr="00C10EA2" w:rsidRDefault="00C10EA2" w:rsidP="00C10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RO 1 - přenesená daňová povinnost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EA2" w:rsidRPr="00C10EA2" w:rsidRDefault="00C10EA2" w:rsidP="00C10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-179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400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,00</w:t>
            </w:r>
          </w:p>
        </w:tc>
      </w:tr>
      <w:tr w:rsidR="00C10EA2" w:rsidRPr="00C10EA2" w:rsidTr="00C10EA2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EA2" w:rsidRPr="00C10EA2" w:rsidRDefault="00C10EA2" w:rsidP="00C10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RO 11 - přenesená daňová povinnost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EA2" w:rsidRPr="00C10EA2" w:rsidRDefault="00C10EA2" w:rsidP="00C10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-55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700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,00</w:t>
            </w:r>
          </w:p>
        </w:tc>
      </w:tr>
      <w:tr w:rsidR="00C10EA2" w:rsidRPr="00C10EA2" w:rsidTr="00C10EA2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EA2" w:rsidRPr="00C10EA2" w:rsidRDefault="00C10EA2" w:rsidP="00C10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Převod do fondu správy budov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EA2" w:rsidRPr="00C10EA2" w:rsidRDefault="00C10EA2" w:rsidP="00C10E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3 213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 w:rsidRPr="00C10E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842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,00</w:t>
            </w:r>
          </w:p>
        </w:tc>
      </w:tr>
    </w:tbl>
    <w:p w:rsidR="00C10EA2" w:rsidRPr="00352044" w:rsidRDefault="00C10EA2" w:rsidP="00DB02D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C32447" w:rsidRDefault="00C32447" w:rsidP="00DB02DC">
      <w:pPr>
        <w:spacing w:after="0" w:line="240" w:lineRule="auto"/>
        <w:jc w:val="both"/>
        <w:rPr>
          <w:b/>
          <w:sz w:val="24"/>
          <w:szCs w:val="24"/>
        </w:rPr>
      </w:pPr>
      <w:r w:rsidRPr="00C32447">
        <w:rPr>
          <w:b/>
          <w:sz w:val="24"/>
          <w:szCs w:val="24"/>
        </w:rPr>
        <w:t xml:space="preserve">2. Hospodaření s majetkem </w:t>
      </w:r>
      <w:r>
        <w:rPr>
          <w:b/>
          <w:sz w:val="24"/>
          <w:szCs w:val="24"/>
        </w:rPr>
        <w:t>města</w:t>
      </w:r>
      <w:r w:rsidRPr="00C32447">
        <w:rPr>
          <w:b/>
          <w:sz w:val="24"/>
          <w:szCs w:val="24"/>
        </w:rPr>
        <w:t xml:space="preserve"> a další finanční operace</w:t>
      </w:r>
    </w:p>
    <w:p w:rsidR="00C32447" w:rsidRDefault="00C32447" w:rsidP="00DB02DC">
      <w:pPr>
        <w:spacing w:after="0" w:line="240" w:lineRule="auto"/>
        <w:jc w:val="both"/>
        <w:rPr>
          <w:sz w:val="20"/>
          <w:szCs w:val="20"/>
        </w:rPr>
      </w:pPr>
    </w:p>
    <w:p w:rsidR="00C32447" w:rsidRDefault="00C32447" w:rsidP="00DB02DC">
      <w:pPr>
        <w:spacing w:after="0" w:line="240" w:lineRule="auto"/>
        <w:jc w:val="both"/>
        <w:rPr>
          <w:b/>
          <w:sz w:val="20"/>
          <w:szCs w:val="20"/>
        </w:rPr>
      </w:pPr>
      <w:r w:rsidRPr="00C32447">
        <w:rPr>
          <w:b/>
          <w:sz w:val="20"/>
          <w:szCs w:val="20"/>
        </w:rPr>
        <w:t>Rozvaha</w:t>
      </w:r>
      <w:r w:rsidR="00A56559">
        <w:rPr>
          <w:b/>
          <w:sz w:val="20"/>
          <w:szCs w:val="20"/>
        </w:rPr>
        <w:t xml:space="preserve"> k 31. 12. 2021</w:t>
      </w:r>
      <w:r w:rsidR="00DF13C7">
        <w:rPr>
          <w:b/>
          <w:sz w:val="20"/>
          <w:szCs w:val="20"/>
        </w:rPr>
        <w:t xml:space="preserve"> (v tis. Kč)</w:t>
      </w:r>
    </w:p>
    <w:tbl>
      <w:tblPr>
        <w:tblW w:w="7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380"/>
        <w:gridCol w:w="2440"/>
        <w:gridCol w:w="1380"/>
      </w:tblGrid>
      <w:tr w:rsidR="00A56559" w:rsidRPr="00A56559" w:rsidTr="00A56559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Stálá aktiva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1 058 183,88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Vlastní zdroje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1 145 511,96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Dlouhodobý nehmotný majetek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4 770,44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Jmění účetní jednotky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807 106,40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Dlouhodobý hmotný majetek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988 082,44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Fondy účetní jednotky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49 845,29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Dlouhodobý finanční majetek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65 331,00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Výsledek </w:t>
            </w:r>
            <w:proofErr w:type="spellStart"/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hosp</w:t>
            </w:r>
            <w:proofErr w:type="spellEnd"/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, minulých let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254 941,76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Dlouhodobé pohledávky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Výsledek </w:t>
            </w:r>
            <w:proofErr w:type="spellStart"/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hosp</w:t>
            </w:r>
            <w:proofErr w:type="spellEnd"/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. běžného úč. </w:t>
            </w:r>
            <w:proofErr w:type="gramStart"/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období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33 618,52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Oběžná aktiva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148 564,11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Cizí zdroje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61 236,02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Zásoby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Rezervy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Krátkodobé pohledávky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30 134,60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Dlouhodobé závazky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18 215,22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Krátkodobý finanční majetek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118 429,51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Krátkodobé závazky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43 020,80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Aktiva celkem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1 206 747,99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Pasiva celkem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1 206 747,99</w:t>
            </w:r>
          </w:p>
        </w:tc>
      </w:tr>
    </w:tbl>
    <w:p w:rsidR="00DF13C7" w:rsidRDefault="00DF13C7" w:rsidP="00DB02DC">
      <w:pPr>
        <w:spacing w:after="0" w:line="240" w:lineRule="auto"/>
        <w:jc w:val="both"/>
        <w:rPr>
          <w:sz w:val="20"/>
          <w:szCs w:val="20"/>
        </w:rPr>
      </w:pPr>
    </w:p>
    <w:p w:rsidR="00C03157" w:rsidRDefault="00E115C5" w:rsidP="00DB02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 31. 12. 2021</w:t>
      </w:r>
      <w:r w:rsidR="00C03157">
        <w:rPr>
          <w:sz w:val="20"/>
          <w:szCs w:val="20"/>
        </w:rPr>
        <w:t xml:space="preserve"> město Slavkov u Brna vykazuje celková akt</w:t>
      </w:r>
      <w:r w:rsidR="00D1136D">
        <w:rPr>
          <w:sz w:val="20"/>
          <w:szCs w:val="20"/>
        </w:rPr>
        <w:t>iva (netto) ve výši 1.206.</w:t>
      </w:r>
      <w:r>
        <w:rPr>
          <w:sz w:val="20"/>
          <w:szCs w:val="20"/>
        </w:rPr>
        <w:t>74</w:t>
      </w:r>
      <w:r w:rsidR="00D1136D">
        <w:rPr>
          <w:sz w:val="20"/>
          <w:szCs w:val="20"/>
        </w:rPr>
        <w:t>7,99</w:t>
      </w:r>
      <w:r w:rsidR="00C03157">
        <w:rPr>
          <w:sz w:val="20"/>
          <w:szCs w:val="20"/>
        </w:rPr>
        <w:t xml:space="preserve"> tis. Kč. Tato aktiva jsou kryta </w:t>
      </w:r>
      <w:r>
        <w:rPr>
          <w:sz w:val="20"/>
          <w:szCs w:val="20"/>
        </w:rPr>
        <w:t>vlastním kapitálem ve výši 1.145.511,96</w:t>
      </w:r>
      <w:r w:rsidR="00C03157">
        <w:rPr>
          <w:sz w:val="20"/>
          <w:szCs w:val="20"/>
        </w:rPr>
        <w:t xml:space="preserve"> tis</w:t>
      </w:r>
      <w:r>
        <w:rPr>
          <w:sz w:val="20"/>
          <w:szCs w:val="20"/>
        </w:rPr>
        <w:t>. Kč a cizími zdroji ve výši 61</w:t>
      </w:r>
      <w:r w:rsidR="00C03157">
        <w:rPr>
          <w:sz w:val="20"/>
          <w:szCs w:val="20"/>
        </w:rPr>
        <w:t>.</w:t>
      </w:r>
      <w:r>
        <w:rPr>
          <w:sz w:val="20"/>
          <w:szCs w:val="20"/>
        </w:rPr>
        <w:t>236,02</w:t>
      </w:r>
      <w:r w:rsidR="00C03157">
        <w:rPr>
          <w:sz w:val="20"/>
          <w:szCs w:val="20"/>
        </w:rPr>
        <w:t xml:space="preserve"> tis. Kč. Aktiva (majetek) jsou převážné míře financována z vlastních zdrojů, což ukazuje na dlouhodobé dobré hospodaření města. </w:t>
      </w:r>
    </w:p>
    <w:p w:rsidR="00C03157" w:rsidRDefault="00C03157" w:rsidP="00C031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C03157">
        <w:rPr>
          <w:sz w:val="20"/>
          <w:szCs w:val="20"/>
        </w:rPr>
        <w:t>tálá aktiva</w:t>
      </w:r>
      <w:r w:rsidR="00F07B13">
        <w:rPr>
          <w:sz w:val="20"/>
          <w:szCs w:val="20"/>
        </w:rPr>
        <w:t xml:space="preserve"> (netto) ve výši 1.058.183,88</w:t>
      </w:r>
      <w:r>
        <w:rPr>
          <w:sz w:val="20"/>
          <w:szCs w:val="20"/>
        </w:rPr>
        <w:t xml:space="preserve"> tis. Kč (dlouhodobý nehmotný a hmotný majetek, dlouhodobý finanční majetek)</w:t>
      </w:r>
    </w:p>
    <w:p w:rsidR="00C03157" w:rsidRDefault="00C03157" w:rsidP="00C031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Oběžná </w:t>
      </w:r>
      <w:r w:rsidR="00E115C5">
        <w:rPr>
          <w:sz w:val="20"/>
          <w:szCs w:val="20"/>
        </w:rPr>
        <w:t>aktiva (netto) ve výši 148.564,11</w:t>
      </w:r>
      <w:r>
        <w:rPr>
          <w:sz w:val="20"/>
          <w:szCs w:val="20"/>
        </w:rPr>
        <w:t xml:space="preserve"> tis. Kč (krátkodobé pohledávky, krátkodobý finanční majetek)</w:t>
      </w:r>
    </w:p>
    <w:p w:rsidR="00C03157" w:rsidRDefault="00C03157" w:rsidP="00C031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F07B13">
        <w:rPr>
          <w:sz w:val="20"/>
          <w:szCs w:val="20"/>
        </w:rPr>
        <w:t>lastní kapitál ve výši 1.145.511,96</w:t>
      </w:r>
      <w:r w:rsidR="00FD087B">
        <w:rPr>
          <w:sz w:val="20"/>
          <w:szCs w:val="20"/>
        </w:rPr>
        <w:t xml:space="preserve"> tis. Kč (jmění účetní jednotky, fondy, výsledek hospodaření)</w:t>
      </w:r>
    </w:p>
    <w:p w:rsidR="00FD087B" w:rsidRDefault="00F07B13" w:rsidP="00C031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Cizí zdroje ve výši 61.236,02</w:t>
      </w:r>
      <w:r w:rsidR="00FD087B">
        <w:rPr>
          <w:sz w:val="20"/>
          <w:szCs w:val="20"/>
        </w:rPr>
        <w:t xml:space="preserve"> tis. Kč (dlouhodobé závazky, krátkodobé závazky)</w:t>
      </w:r>
    </w:p>
    <w:p w:rsidR="00977E7C" w:rsidRDefault="00977E7C" w:rsidP="00517F58">
      <w:pPr>
        <w:pStyle w:val="Odstavecseseznamem"/>
        <w:spacing w:after="0" w:line="240" w:lineRule="auto"/>
        <w:jc w:val="both"/>
        <w:rPr>
          <w:sz w:val="20"/>
          <w:szCs w:val="20"/>
        </w:rPr>
      </w:pPr>
    </w:p>
    <w:p w:rsidR="00FD087B" w:rsidRDefault="00FD087B" w:rsidP="00FD087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Cizí zdroje jsou tvoř</w:t>
      </w:r>
      <w:r w:rsidR="0007770E">
        <w:rPr>
          <w:sz w:val="20"/>
          <w:szCs w:val="20"/>
        </w:rPr>
        <w:t>eny zůstatkem dlouhodobých půjček</w:t>
      </w:r>
      <w:r w:rsidR="00F07B13">
        <w:rPr>
          <w:sz w:val="20"/>
          <w:szCs w:val="20"/>
        </w:rPr>
        <w:t xml:space="preserve"> ve výši 16.327,6 </w:t>
      </w:r>
      <w:r>
        <w:rPr>
          <w:sz w:val="20"/>
          <w:szCs w:val="20"/>
        </w:rPr>
        <w:t>tis. Kč, ostatními dlouh</w:t>
      </w:r>
      <w:r w:rsidR="00F07B13">
        <w:rPr>
          <w:sz w:val="20"/>
          <w:szCs w:val="20"/>
        </w:rPr>
        <w:t>odobými závazky ve výši 1.887,62</w:t>
      </w:r>
      <w:r>
        <w:rPr>
          <w:sz w:val="20"/>
          <w:szCs w:val="20"/>
        </w:rPr>
        <w:t xml:space="preserve"> tis. Kč (např. předfinancované nájemné byty Litavská). Krátkodobé závazky tvoří zálohy na přijaté transfer</w:t>
      </w:r>
      <w:r w:rsidR="00F07B13">
        <w:rPr>
          <w:sz w:val="20"/>
          <w:szCs w:val="20"/>
        </w:rPr>
        <w:t xml:space="preserve">y ve výši 21.838,52 </w:t>
      </w:r>
      <w:r>
        <w:rPr>
          <w:sz w:val="20"/>
          <w:szCs w:val="20"/>
        </w:rPr>
        <w:t>tis. Kč, dále pak ostatní krátkodobé závazky (dodavatelé, přijaté zálohy, daň z příjmů právnických osob a další).</w:t>
      </w:r>
    </w:p>
    <w:p w:rsidR="00835275" w:rsidRDefault="00835275" w:rsidP="00FD087B">
      <w:pPr>
        <w:spacing w:after="0" w:line="240" w:lineRule="auto"/>
        <w:jc w:val="both"/>
        <w:rPr>
          <w:sz w:val="20"/>
          <w:szCs w:val="20"/>
        </w:rPr>
      </w:pPr>
    </w:p>
    <w:p w:rsidR="00835275" w:rsidRPr="00835275" w:rsidRDefault="0007770E" w:rsidP="00FD087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Dlouhodobé úvěry</w:t>
      </w:r>
      <w:r w:rsidR="00A56559">
        <w:rPr>
          <w:b/>
          <w:sz w:val="20"/>
          <w:szCs w:val="20"/>
        </w:rPr>
        <w:t xml:space="preserve"> – splátky 2021</w:t>
      </w:r>
      <w:r w:rsidR="00835275" w:rsidRPr="00835275">
        <w:rPr>
          <w:b/>
          <w:sz w:val="20"/>
          <w:szCs w:val="20"/>
        </w:rPr>
        <w:t xml:space="preserve"> (v tis. Kč)</w:t>
      </w:r>
    </w:p>
    <w:tbl>
      <w:tblPr>
        <w:tblW w:w="6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380"/>
        <w:gridCol w:w="2440"/>
      </w:tblGrid>
      <w:tr w:rsidR="00A56559" w:rsidRPr="00A56559" w:rsidTr="00A56559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Dlouhodobé půjčky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Splátky 2021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Zůstatek 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Akcie Vak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869,77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0,00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Mateřská škola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1 068,00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9 320,00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SCB - zařízení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360,00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705,86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SCB - budova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840,00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2 024,14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Budova </w:t>
            </w:r>
            <w:proofErr w:type="spellStart"/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VaK</w:t>
            </w:r>
            <w:proofErr w:type="spellEnd"/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(TSMS)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1 070,40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4 277,60</w:t>
            </w:r>
          </w:p>
        </w:tc>
      </w:tr>
      <w:tr w:rsidR="00A56559" w:rsidRPr="00A56559" w:rsidTr="00A56559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Cekem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4 208,17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16 327,60</w:t>
            </w:r>
          </w:p>
        </w:tc>
      </w:tr>
    </w:tbl>
    <w:p w:rsidR="00FD087B" w:rsidRDefault="00FD087B" w:rsidP="00FD087B">
      <w:pPr>
        <w:spacing w:after="0" w:line="240" w:lineRule="auto"/>
        <w:jc w:val="both"/>
        <w:rPr>
          <w:sz w:val="20"/>
          <w:szCs w:val="20"/>
        </w:rPr>
      </w:pPr>
    </w:p>
    <w:p w:rsidR="00B363CD" w:rsidRDefault="00B363CD" w:rsidP="00FD087B">
      <w:pPr>
        <w:spacing w:after="0" w:line="240" w:lineRule="auto"/>
        <w:jc w:val="both"/>
        <w:rPr>
          <w:sz w:val="20"/>
          <w:szCs w:val="20"/>
        </w:rPr>
      </w:pPr>
    </w:p>
    <w:p w:rsidR="00A70F55" w:rsidRDefault="00A70F55" w:rsidP="00FD087B">
      <w:pPr>
        <w:spacing w:after="0" w:line="240" w:lineRule="auto"/>
        <w:jc w:val="both"/>
        <w:rPr>
          <w:b/>
          <w:sz w:val="20"/>
          <w:szCs w:val="20"/>
        </w:rPr>
      </w:pPr>
    </w:p>
    <w:p w:rsidR="00977E7C" w:rsidRDefault="00A56559" w:rsidP="00FD087B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Krátkodobé pohledávky 2021 (v Kč)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020"/>
        <w:gridCol w:w="1120"/>
        <w:gridCol w:w="1175"/>
        <w:gridCol w:w="1205"/>
        <w:gridCol w:w="1060"/>
      </w:tblGrid>
      <w:tr w:rsidR="00A56559" w:rsidRPr="00A56559" w:rsidTr="00A56559">
        <w:trPr>
          <w:trHeight w:val="276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ORJ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Počáteční stav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2021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Zůstatek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Přírůstek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  <w:t>Úbytek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KT - Pokuty (5010, 5011)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2 251 223,28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954 600,00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608 645,41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2 597 177,87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DSH - Pokuty (5050, 5051)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137 320,09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24 000,00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17 700,00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143 620,09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DSH - Pokuty - vážení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68 700,00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-68 700,00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DSH - Pokuty - </w:t>
            </w:r>
            <w:proofErr w:type="spellStart"/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spr</w:t>
            </w:r>
            <w:proofErr w:type="spellEnd"/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. řízení - radar (5082)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3 055 025,11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2 820 300,00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2 244 578,58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3 630 746,53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DSH - Pokuty - PČR - radar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-9 700,00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221 100,00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84 400,00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127 000,00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DSH - Pokuty - parkování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-23 200,00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61 300,00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26 800,00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11 300,00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MěP</w:t>
            </w:r>
            <w:proofErr w:type="spellEnd"/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 - Pokuty (5060, 5061, 5070)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26 376,56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8 200,00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29 076,56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 xml:space="preserve">DSH - Pokuty - úsekové měření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4 455 522,84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590 600,00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4 725 200,00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320 922,84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ŽÚ - Pokuty (5030, 5031)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246 937,03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7 090,92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239 846,11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FO - Místní poplatek ze psů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3 928,00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143 376,00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144 561,00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2 743,00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ŽP - Poplatek za svoz TKO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376 265,00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2 304 817,00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2 376 710,00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304 372,00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VV - Pokuty (5040, 5041)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350 518,71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153 500,00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89 621,11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414 397,60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SÚ- Pokuty (5015)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58 197,00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374 000,00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356 900,00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75 297,00</w:t>
            </w:r>
          </w:p>
        </w:tc>
      </w:tr>
      <w:tr w:rsidR="00A56559" w:rsidRPr="00A56559" w:rsidTr="00A56559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ŽP - Pokuty  (5020)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-17 300,00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72 500,00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71 000,00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cs-CZ"/>
              </w:rPr>
              <w:t>-15 800,00</w:t>
            </w:r>
          </w:p>
        </w:tc>
      </w:tr>
      <w:tr w:rsidR="00A56559" w:rsidRPr="00A56559" w:rsidTr="00A56559">
        <w:trPr>
          <w:trHeight w:val="276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Pohledávky celkem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10 979 813,62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7 659 593,00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10 758 707,02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565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7 880 699,60</w:t>
            </w:r>
          </w:p>
        </w:tc>
      </w:tr>
    </w:tbl>
    <w:p w:rsidR="00A56559" w:rsidRPr="00E21559" w:rsidRDefault="00A56559" w:rsidP="00FD087B">
      <w:pPr>
        <w:spacing w:after="0" w:line="240" w:lineRule="auto"/>
        <w:jc w:val="both"/>
        <w:rPr>
          <w:b/>
          <w:sz w:val="20"/>
          <w:szCs w:val="20"/>
        </w:rPr>
      </w:pPr>
    </w:p>
    <w:p w:rsidR="00977E7C" w:rsidRPr="00FD087B" w:rsidRDefault="00977E7C" w:rsidP="00FD087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Údaje o stavu a vývoji majetku za běžný rok včetně podpisu významných vlivů na změny majetku jsou součástí Zprávy o výsledku přezkoumání hospodaření </w:t>
      </w:r>
      <w:r w:rsidR="00F07B13">
        <w:rPr>
          <w:sz w:val="20"/>
          <w:szCs w:val="20"/>
        </w:rPr>
        <w:t>města Slavkov u Brna za rok 2021</w:t>
      </w:r>
      <w:r>
        <w:rPr>
          <w:sz w:val="20"/>
          <w:szCs w:val="20"/>
        </w:rPr>
        <w:t xml:space="preserve"> vč. příloh, kterou nalezne</w:t>
      </w:r>
      <w:r w:rsidR="009F46EC">
        <w:rPr>
          <w:sz w:val="20"/>
          <w:szCs w:val="20"/>
        </w:rPr>
        <w:t>te v příloze k závěrečnému účtu (název přílohy – Zpráva o přezkoumání hospodaření).</w:t>
      </w:r>
    </w:p>
    <w:p w:rsidR="00FD6F03" w:rsidRDefault="00FD6F03" w:rsidP="00DB02DC">
      <w:pPr>
        <w:spacing w:after="0" w:line="240" w:lineRule="auto"/>
        <w:jc w:val="both"/>
        <w:rPr>
          <w:b/>
          <w:sz w:val="24"/>
          <w:szCs w:val="24"/>
        </w:rPr>
      </w:pPr>
    </w:p>
    <w:p w:rsidR="00B5737B" w:rsidRPr="00B5737B" w:rsidRDefault="00B5737B" w:rsidP="00DB02DC">
      <w:pPr>
        <w:spacing w:after="0" w:line="240" w:lineRule="auto"/>
        <w:jc w:val="both"/>
        <w:rPr>
          <w:b/>
          <w:sz w:val="24"/>
          <w:szCs w:val="24"/>
        </w:rPr>
      </w:pPr>
      <w:r w:rsidRPr="00B5737B">
        <w:rPr>
          <w:b/>
          <w:sz w:val="24"/>
          <w:szCs w:val="24"/>
        </w:rPr>
        <w:t xml:space="preserve">3. Tvorba a použití peněžních fondů </w:t>
      </w:r>
    </w:p>
    <w:p w:rsidR="00B5737B" w:rsidRDefault="00B5737B" w:rsidP="00DB02DC">
      <w:pPr>
        <w:spacing w:after="0" w:line="240" w:lineRule="auto"/>
        <w:jc w:val="both"/>
        <w:rPr>
          <w:sz w:val="20"/>
          <w:szCs w:val="20"/>
        </w:rPr>
      </w:pPr>
    </w:p>
    <w:p w:rsidR="003529A2" w:rsidRPr="003529A2" w:rsidRDefault="003529A2" w:rsidP="00DB02DC">
      <w:pPr>
        <w:spacing w:after="0" w:line="240" w:lineRule="auto"/>
        <w:jc w:val="both"/>
        <w:rPr>
          <w:b/>
          <w:sz w:val="20"/>
          <w:szCs w:val="20"/>
        </w:rPr>
      </w:pPr>
      <w:r w:rsidRPr="003529A2">
        <w:rPr>
          <w:b/>
          <w:sz w:val="20"/>
          <w:szCs w:val="20"/>
        </w:rPr>
        <w:t>Fondy města Slavkov u Brna</w:t>
      </w:r>
      <w:r w:rsidR="00A56559">
        <w:rPr>
          <w:b/>
          <w:sz w:val="20"/>
          <w:szCs w:val="20"/>
        </w:rPr>
        <w:t xml:space="preserve"> v roce 2021</w:t>
      </w:r>
      <w:r w:rsidR="00F07B13">
        <w:rPr>
          <w:b/>
          <w:sz w:val="20"/>
          <w:szCs w:val="20"/>
        </w:rPr>
        <w:t xml:space="preserve"> (</w:t>
      </w:r>
      <w:r w:rsidR="006D3B06">
        <w:rPr>
          <w:b/>
          <w:sz w:val="20"/>
          <w:szCs w:val="20"/>
        </w:rPr>
        <w:t>v tis. Kč</w:t>
      </w:r>
      <w:r w:rsidR="00F07B13">
        <w:rPr>
          <w:b/>
          <w:sz w:val="20"/>
          <w:szCs w:val="20"/>
        </w:rPr>
        <w:t>)</w:t>
      </w: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1600"/>
        <w:gridCol w:w="1600"/>
        <w:gridCol w:w="1600"/>
      </w:tblGrid>
      <w:tr w:rsidR="00A56559" w:rsidRPr="00A56559" w:rsidTr="00A56559">
        <w:trPr>
          <w:trHeight w:val="27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Fond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PS 2021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tvorba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čerpání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 xml:space="preserve">KS  </w:t>
            </w:r>
            <w:proofErr w:type="gramStart"/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31.12.2021</w:t>
            </w:r>
            <w:proofErr w:type="gramEnd"/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Fond rezerv a rozvoje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75 083,51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46 552,85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88 765,80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32 870,56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výsledek hospodaření 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30 965,45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dokrytí schváleného rozpočtu z fondu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62 265,80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průtah Slavkov RO 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lastRenderedPageBreak/>
              <w:t xml:space="preserve"> - krizové řízení RO 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střecha ZŠ Komenského RO 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PD napoleonská expozice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1 750,00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odkud nemovitosti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převod nespecifikov</w:t>
            </w:r>
            <w:r w:rsidR="00F07B13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a</w:t>
            </w: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né rezervy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15 587,40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Sociální fond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523,33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1 130,55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1 076,76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577,12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Fond dopravní infrastruktury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2 558,71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444,02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1 502,73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tvorba z roku 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443,88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oprava komunikací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oprava Nádražní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Fond správy majetku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11 749,57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9 810,50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6 665,24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14 894,84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výsledek hospodaření 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9 117,74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daň z příjmu PO 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1 846,85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dokrytí schváleného rozpočtu z fondu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1 213,60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odpisy majetku I. čtvrtletí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172,94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odpisy majetku II. čtvrtletí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172,94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odpisy majetku III. čtvrtletí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172,94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oprava střechy Husova 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odpis IV. čtvrtletí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172,94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výměna řídící jednotky kotelna poliklinika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98,693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56559" w:rsidRPr="00A56559" w:rsidTr="00A56559">
        <w:trPr>
          <w:trHeight w:val="2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- internetové připojení kotelna Zlatá Hora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6,05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 </w:t>
            </w:r>
          </w:p>
        </w:tc>
      </w:tr>
    </w:tbl>
    <w:p w:rsidR="006D3B06" w:rsidRPr="006D3B06" w:rsidRDefault="006D3B06" w:rsidP="00461EA7">
      <w:pPr>
        <w:spacing w:after="0" w:line="240" w:lineRule="auto"/>
        <w:jc w:val="both"/>
        <w:rPr>
          <w:b/>
          <w:sz w:val="16"/>
          <w:szCs w:val="16"/>
        </w:rPr>
      </w:pPr>
    </w:p>
    <w:p w:rsidR="00DF26D9" w:rsidRDefault="006D3B06" w:rsidP="00DF26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sz w:val="20"/>
          <w:szCs w:val="20"/>
        </w:rPr>
        <w:t>Čerpání i tvorba Fondu rezerv a rozvoje probíhaly</w:t>
      </w:r>
      <w:r w:rsidR="00DF26D9">
        <w:rPr>
          <w:sz w:val="20"/>
          <w:szCs w:val="20"/>
        </w:rPr>
        <w:t xml:space="preserve"> dle chváleného Statutu</w:t>
      </w:r>
      <w:r w:rsidR="00DF26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F26D9" w:rsidRPr="00DF26D9">
        <w:rPr>
          <w:rFonts w:eastAsia="Times New Roman" w:cstheme="minorHAnsi"/>
          <w:sz w:val="20"/>
          <w:szCs w:val="20"/>
          <w:lang w:eastAsia="cs-CZ"/>
        </w:rPr>
        <w:t>Fondu rezerv a rozvoje města Slavkov u Brna ze dne 12.</w:t>
      </w:r>
      <w:r w:rsidR="00DF26D9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DF26D9" w:rsidRPr="00DF26D9">
        <w:rPr>
          <w:rFonts w:eastAsia="Times New Roman" w:cstheme="minorHAnsi"/>
          <w:sz w:val="20"/>
          <w:szCs w:val="20"/>
          <w:lang w:eastAsia="cs-CZ"/>
        </w:rPr>
        <w:t>11.</w:t>
      </w:r>
      <w:r w:rsidR="00DF26D9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DF26D9" w:rsidRPr="00DF26D9">
        <w:rPr>
          <w:rFonts w:eastAsia="Times New Roman" w:cstheme="minorHAnsi"/>
          <w:sz w:val="20"/>
          <w:szCs w:val="20"/>
          <w:lang w:eastAsia="cs-CZ"/>
        </w:rPr>
        <w:t>2018.</w:t>
      </w:r>
    </w:p>
    <w:p w:rsidR="00DF26D9" w:rsidRDefault="00DF26D9" w:rsidP="00DF26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Tvorba i čerpání Sociálního</w:t>
      </w:r>
      <w:r w:rsidR="00836A92">
        <w:rPr>
          <w:rFonts w:eastAsia="Times New Roman" w:cstheme="minorHAnsi"/>
          <w:sz w:val="20"/>
          <w:szCs w:val="20"/>
          <w:lang w:eastAsia="cs-CZ"/>
        </w:rPr>
        <w:t xml:space="preserve"> fondu probíhaly dle schválené směrnice ze dne 4. 2. 2019.</w:t>
      </w:r>
    </w:p>
    <w:p w:rsidR="00DF26D9" w:rsidRDefault="00DF26D9" w:rsidP="00DF26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Tvorba Fondu dopravní infrastruktury probíhala dle schváleného Statutu Fondu d</w:t>
      </w:r>
      <w:r w:rsidR="00836A92">
        <w:rPr>
          <w:rFonts w:eastAsia="Times New Roman" w:cstheme="minorHAnsi"/>
          <w:sz w:val="20"/>
          <w:szCs w:val="20"/>
          <w:lang w:eastAsia="cs-CZ"/>
        </w:rPr>
        <w:t>opravní infrastruktury ze dne 7. 12</w:t>
      </w:r>
      <w:r>
        <w:rPr>
          <w:rFonts w:eastAsia="Times New Roman" w:cstheme="minorHAnsi"/>
          <w:sz w:val="20"/>
          <w:szCs w:val="20"/>
          <w:lang w:eastAsia="cs-CZ"/>
        </w:rPr>
        <w:t>. 2020.</w:t>
      </w:r>
    </w:p>
    <w:p w:rsidR="00DF26D9" w:rsidRPr="00DF26D9" w:rsidRDefault="00DF26D9" w:rsidP="00DF26D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>Tvorba i čerpání Fondu správy majetku probíhaly dle schváleného</w:t>
      </w:r>
      <w:r w:rsidR="00836A92">
        <w:rPr>
          <w:rFonts w:eastAsia="Times New Roman" w:cstheme="minorHAnsi"/>
          <w:sz w:val="20"/>
          <w:szCs w:val="20"/>
          <w:lang w:eastAsia="cs-CZ"/>
        </w:rPr>
        <w:t xml:space="preserve"> Statutu Fondu správy majetku ze dne 10.</w:t>
      </w:r>
      <w:r w:rsidR="00836A92">
        <w:t> </w:t>
      </w:r>
      <w:r w:rsidR="00836A92">
        <w:rPr>
          <w:rFonts w:eastAsia="Times New Roman" w:cstheme="minorHAnsi"/>
          <w:sz w:val="20"/>
          <w:szCs w:val="20"/>
          <w:lang w:eastAsia="cs-CZ"/>
        </w:rPr>
        <w:t>9. 2018.</w:t>
      </w:r>
    </w:p>
    <w:p w:rsidR="007D7C70" w:rsidRDefault="007D7C70" w:rsidP="00461EA7">
      <w:pPr>
        <w:spacing w:after="0" w:line="240" w:lineRule="auto"/>
        <w:jc w:val="both"/>
        <w:rPr>
          <w:b/>
          <w:sz w:val="24"/>
          <w:szCs w:val="24"/>
        </w:rPr>
      </w:pPr>
    </w:p>
    <w:p w:rsidR="007708DA" w:rsidRPr="007708DA" w:rsidRDefault="007708DA" w:rsidP="00461EA7">
      <w:pPr>
        <w:spacing w:after="0" w:line="240" w:lineRule="auto"/>
        <w:jc w:val="both"/>
        <w:rPr>
          <w:b/>
          <w:sz w:val="24"/>
          <w:szCs w:val="24"/>
        </w:rPr>
      </w:pPr>
      <w:r w:rsidRPr="007708DA">
        <w:rPr>
          <w:b/>
          <w:sz w:val="24"/>
          <w:szCs w:val="24"/>
        </w:rPr>
        <w:t>4. Vyúčtování finančních vztahů ke státnímu rozpočtu a ostatním rozpočtům veřejné úrovně</w:t>
      </w:r>
    </w:p>
    <w:p w:rsidR="00C32447" w:rsidRDefault="00C32447" w:rsidP="00461EA7">
      <w:pPr>
        <w:spacing w:after="0" w:line="240" w:lineRule="auto"/>
        <w:jc w:val="both"/>
        <w:rPr>
          <w:b/>
          <w:sz w:val="20"/>
          <w:szCs w:val="20"/>
        </w:rPr>
      </w:pPr>
    </w:p>
    <w:p w:rsidR="007708DA" w:rsidRDefault="007708DA" w:rsidP="00461EA7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Přijaté transfery (dotace) </w:t>
      </w:r>
      <w:r>
        <w:rPr>
          <w:sz w:val="20"/>
          <w:szCs w:val="20"/>
        </w:rPr>
        <w:t>by</w:t>
      </w:r>
      <w:r w:rsidR="00F07B13">
        <w:rPr>
          <w:sz w:val="20"/>
          <w:szCs w:val="20"/>
        </w:rPr>
        <w:t>ly do rozpočtu města v roce 2021</w:t>
      </w:r>
      <w:r>
        <w:rPr>
          <w:sz w:val="20"/>
          <w:szCs w:val="20"/>
        </w:rPr>
        <w:t xml:space="preserve"> poskytnuty ze SR, SF, E</w:t>
      </w:r>
      <w:r w:rsidR="00F07B13">
        <w:rPr>
          <w:sz w:val="20"/>
          <w:szCs w:val="20"/>
        </w:rPr>
        <w:t>U a JMK v celkové výši 46.623,73</w:t>
      </w:r>
      <w:r w:rsidR="00A65A1A">
        <w:rPr>
          <w:sz w:val="20"/>
          <w:szCs w:val="20"/>
        </w:rPr>
        <w:t xml:space="preserve"> tis. Kč.</w:t>
      </w:r>
    </w:p>
    <w:p w:rsidR="007708DA" w:rsidRDefault="007708DA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Ukončené dotační projekty byly v rámci finančn</w:t>
      </w:r>
      <w:r w:rsidR="00D1136D">
        <w:rPr>
          <w:sz w:val="20"/>
          <w:szCs w:val="20"/>
        </w:rPr>
        <w:t>ího vypořádání řádně vyúčtovány a vratky zaslány zpět poskytovatelům dotací.</w:t>
      </w:r>
    </w:p>
    <w:p w:rsidR="00A65A1A" w:rsidRDefault="00A65A1A" w:rsidP="00461EA7">
      <w:pPr>
        <w:spacing w:after="0" w:line="240" w:lineRule="auto"/>
        <w:jc w:val="both"/>
        <w:rPr>
          <w:sz w:val="20"/>
          <w:szCs w:val="20"/>
        </w:rPr>
      </w:pPr>
    </w:p>
    <w:p w:rsidR="00A65A1A" w:rsidRPr="00A65A1A" w:rsidRDefault="00A65A1A" w:rsidP="00461EA7">
      <w:pPr>
        <w:spacing w:after="0" w:line="240" w:lineRule="auto"/>
        <w:jc w:val="both"/>
        <w:rPr>
          <w:b/>
          <w:sz w:val="20"/>
          <w:szCs w:val="20"/>
        </w:rPr>
      </w:pPr>
      <w:r w:rsidRPr="00A65A1A">
        <w:rPr>
          <w:b/>
          <w:sz w:val="20"/>
          <w:szCs w:val="20"/>
        </w:rPr>
        <w:t>Přeh</w:t>
      </w:r>
      <w:r w:rsidR="00A56559">
        <w:rPr>
          <w:b/>
          <w:sz w:val="20"/>
          <w:szCs w:val="20"/>
        </w:rPr>
        <w:t>led dotací získaných v roce 2021</w:t>
      </w:r>
      <w:r w:rsidRPr="00A65A1A">
        <w:rPr>
          <w:b/>
          <w:sz w:val="20"/>
          <w:szCs w:val="20"/>
        </w:rPr>
        <w:t xml:space="preserve"> (v tis. Kč)</w:t>
      </w:r>
    </w:p>
    <w:tbl>
      <w:tblPr>
        <w:tblW w:w="73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634"/>
        <w:gridCol w:w="1460"/>
      </w:tblGrid>
      <w:tr w:rsidR="00A56559" w:rsidRPr="00A56559" w:rsidTr="00A56559">
        <w:trPr>
          <w:trHeight w:val="27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Položka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Výše dotace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Kompenzační bonus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1 620,03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Volby do Parlamentu ČR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175,00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4111 Celkem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1 795,03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Souhrnný dotační vztah - výkon státní správy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26 094,70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4112 Celkem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26 094,70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Dotace SFŽP - Adaptační strategie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326,03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4113 Celkem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326,03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Státní příspěvek na výkon pěstounské péče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288,00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Státní příspěvek na výkon sociálně-právní ochrany dětí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2 762,57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Státní příspěvek na sociální pracovníky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382,08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lastRenderedPageBreak/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Dotace - Místní akční plán vzdělávání (MAP)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1 829,26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- ZŠ Komenského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1 127,21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- ZŠ Tyršova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845,76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Průtoková dotace - MŠ </w:t>
            </w:r>
            <w:proofErr w:type="spellStart"/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Zvídálek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503,94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Dotace - V109 - komunikace s občany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325,76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ZS-A - Středověk na vlastní kůži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89,56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ZS-A - Z knihovny on-line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41,00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Průtoková dotace ZS-A - Analýza rizik, </w:t>
            </w:r>
            <w:proofErr w:type="spellStart"/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Organiazce</w:t>
            </w:r>
            <w:proofErr w:type="spellEnd"/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 a realizace cvičení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350,00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Dotace - Program regenerace městské památkové zóny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1 355,00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ZS-A - Udržitelnost pro muzea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1 003,28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Akceschopnost JSDH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10,43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D1136D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MP - </w:t>
            </w:r>
            <w:proofErr w:type="spellStart"/>
            <w:r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C</w:t>
            </w:r>
            <w:r w:rsidR="00A56559"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ovid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20,00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V80 - Rozvoj nástrojů strategického řízení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834,01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4116 Celkem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11 767,85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4213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Dotace - elektromobil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182,26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4213 Celkem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182,26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4122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Průtoková dotace ZS-A - Knihovny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50,00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4122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Dotace JMK - Tenkrát ve Slavkově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495,98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4122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 xml:space="preserve">Průtoková dotace ZS-A - </w:t>
            </w:r>
            <w:proofErr w:type="spellStart"/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Veteranfest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150,00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Celkem 4122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695,98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4216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Dotace IROP - revitalizace zámeckého parku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4 989,42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4216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Dotace - V109 - komunikace s občany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273,47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4216 Celkem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5 262,89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4222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Dotace JMK - elektroinstalace budovy SDH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sz w:val="16"/>
                <w:szCs w:val="16"/>
                <w:lang w:eastAsia="cs-CZ"/>
              </w:rPr>
              <w:t>499,00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4222 Celkem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499,00</w:t>
            </w:r>
          </w:p>
        </w:tc>
      </w:tr>
      <w:tr w:rsidR="00A56559" w:rsidRPr="00A56559" w:rsidTr="00A56559">
        <w:trPr>
          <w:trHeight w:val="27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Dotace celkem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6559" w:rsidRPr="00A56559" w:rsidRDefault="00A56559" w:rsidP="00A5655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</w:pPr>
            <w:r w:rsidRPr="00A56559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cs-CZ"/>
              </w:rPr>
              <w:t>46 623,73</w:t>
            </w:r>
          </w:p>
        </w:tc>
      </w:tr>
    </w:tbl>
    <w:p w:rsidR="00A65A1A" w:rsidRDefault="00A65A1A" w:rsidP="00461EA7">
      <w:pPr>
        <w:spacing w:after="0" w:line="240" w:lineRule="auto"/>
        <w:jc w:val="both"/>
        <w:rPr>
          <w:sz w:val="20"/>
          <w:szCs w:val="20"/>
        </w:rPr>
      </w:pPr>
    </w:p>
    <w:p w:rsidR="007D7C70" w:rsidRDefault="007D7C70" w:rsidP="00461EA7">
      <w:pPr>
        <w:spacing w:after="0" w:line="240" w:lineRule="auto"/>
        <w:jc w:val="both"/>
        <w:rPr>
          <w:b/>
          <w:sz w:val="20"/>
          <w:szCs w:val="20"/>
        </w:rPr>
      </w:pPr>
    </w:p>
    <w:p w:rsidR="007708DA" w:rsidRDefault="007708DA" w:rsidP="00461EA7">
      <w:pPr>
        <w:spacing w:after="0" w:line="240" w:lineRule="auto"/>
        <w:jc w:val="both"/>
        <w:rPr>
          <w:b/>
          <w:sz w:val="20"/>
          <w:szCs w:val="20"/>
        </w:rPr>
      </w:pPr>
      <w:r w:rsidRPr="007708DA">
        <w:rPr>
          <w:b/>
          <w:sz w:val="20"/>
          <w:szCs w:val="20"/>
        </w:rPr>
        <w:t>Poskytnuté dotace</w:t>
      </w:r>
    </w:p>
    <w:p w:rsidR="007708DA" w:rsidRDefault="004E373C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Město Slavkov u Brna v roce 2021</w:t>
      </w:r>
      <w:r w:rsidR="007708DA">
        <w:rPr>
          <w:sz w:val="20"/>
          <w:szCs w:val="20"/>
        </w:rPr>
        <w:t xml:space="preserve"> poskytlo z rozpočtu dotace na základě schválených dotačních programů na práci s mládeží ve výši 400 tis. Kč, na veřejn</w:t>
      </w:r>
      <w:r>
        <w:rPr>
          <w:sz w:val="20"/>
          <w:szCs w:val="20"/>
        </w:rPr>
        <w:t>ě prospěšné činnosti ve výši 700</w:t>
      </w:r>
      <w:r w:rsidR="007708DA">
        <w:rPr>
          <w:sz w:val="20"/>
          <w:szCs w:val="20"/>
        </w:rPr>
        <w:t xml:space="preserve"> tis. Kč a</w:t>
      </w:r>
      <w:r>
        <w:rPr>
          <w:sz w:val="20"/>
          <w:szCs w:val="20"/>
        </w:rPr>
        <w:t xml:space="preserve"> individuální dotace ve výši 354,9</w:t>
      </w:r>
      <w:r w:rsidR="003F7523">
        <w:rPr>
          <w:sz w:val="20"/>
          <w:szCs w:val="20"/>
        </w:rPr>
        <w:t xml:space="preserve"> tis. Kč.</w:t>
      </w:r>
      <w:r>
        <w:rPr>
          <w:sz w:val="20"/>
          <w:szCs w:val="20"/>
        </w:rPr>
        <w:t xml:space="preserve"> </w:t>
      </w:r>
    </w:p>
    <w:p w:rsidR="003F7523" w:rsidRDefault="003F7523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Všechny poskytnuté dotace byly do konce ledna 2021 vyúčtovány a případné nevyčerpané prostředky vráceny na účet města.</w:t>
      </w:r>
    </w:p>
    <w:p w:rsidR="001E4E92" w:rsidRDefault="001E4E92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Podrobný přehled</w:t>
      </w:r>
      <w:r w:rsidR="00D25F89">
        <w:rPr>
          <w:sz w:val="20"/>
          <w:szCs w:val="20"/>
        </w:rPr>
        <w:t xml:space="preserve"> poskytnutých</w:t>
      </w:r>
      <w:r w:rsidR="009F46EC">
        <w:rPr>
          <w:sz w:val="20"/>
          <w:szCs w:val="20"/>
        </w:rPr>
        <w:t xml:space="preserve"> dotací je přílohou této zprávy (název přílohy – Poskytnuté dotace 2021).</w:t>
      </w:r>
    </w:p>
    <w:p w:rsidR="004E373C" w:rsidRDefault="004E373C" w:rsidP="00461EA7">
      <w:pPr>
        <w:spacing w:after="0" w:line="240" w:lineRule="auto"/>
        <w:jc w:val="both"/>
        <w:rPr>
          <w:b/>
          <w:sz w:val="24"/>
          <w:szCs w:val="24"/>
        </w:rPr>
      </w:pPr>
    </w:p>
    <w:p w:rsidR="003F7523" w:rsidRDefault="003F7523" w:rsidP="00461EA7">
      <w:pPr>
        <w:spacing w:after="0" w:line="240" w:lineRule="auto"/>
        <w:jc w:val="both"/>
        <w:rPr>
          <w:b/>
          <w:sz w:val="24"/>
          <w:szCs w:val="24"/>
        </w:rPr>
      </w:pPr>
      <w:r w:rsidRPr="003F7523">
        <w:rPr>
          <w:b/>
          <w:sz w:val="24"/>
          <w:szCs w:val="24"/>
        </w:rPr>
        <w:t>5. Hospodářská činnost města</w:t>
      </w:r>
    </w:p>
    <w:p w:rsidR="003F7523" w:rsidRDefault="003F7523" w:rsidP="00461EA7">
      <w:pPr>
        <w:spacing w:after="0" w:line="240" w:lineRule="auto"/>
        <w:jc w:val="both"/>
        <w:rPr>
          <w:sz w:val="20"/>
          <w:szCs w:val="20"/>
        </w:rPr>
      </w:pPr>
    </w:p>
    <w:p w:rsidR="003F7523" w:rsidRDefault="00387813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Celkové výnosy v roce 2021</w:t>
      </w:r>
      <w:r w:rsidR="002C6D17">
        <w:rPr>
          <w:sz w:val="20"/>
          <w:szCs w:val="20"/>
        </w:rPr>
        <w:t xml:space="preserve"> hospodářské činno</w:t>
      </w:r>
      <w:r>
        <w:rPr>
          <w:sz w:val="20"/>
          <w:szCs w:val="20"/>
        </w:rPr>
        <w:t>sti města byly ve výši 7.050,92</w:t>
      </w:r>
      <w:r w:rsidR="002C6D17">
        <w:rPr>
          <w:sz w:val="20"/>
          <w:szCs w:val="20"/>
        </w:rPr>
        <w:t xml:space="preserve"> tis</w:t>
      </w:r>
      <w:r>
        <w:rPr>
          <w:sz w:val="20"/>
          <w:szCs w:val="20"/>
        </w:rPr>
        <w:t>. Kč, náklady ve výši 6.461,97 </w:t>
      </w:r>
      <w:r w:rsidR="002C6D17">
        <w:rPr>
          <w:sz w:val="20"/>
          <w:szCs w:val="20"/>
        </w:rPr>
        <w:t>tis. Kč a výsledek hospodařen</w:t>
      </w:r>
      <w:r>
        <w:rPr>
          <w:sz w:val="20"/>
          <w:szCs w:val="20"/>
        </w:rPr>
        <w:t>í před zdaněním ve výši 588,94</w:t>
      </w:r>
      <w:r w:rsidR="002C6D17">
        <w:rPr>
          <w:sz w:val="20"/>
          <w:szCs w:val="20"/>
        </w:rPr>
        <w:t xml:space="preserve"> tis. Kč. </w:t>
      </w:r>
    </w:p>
    <w:p w:rsidR="00160EFE" w:rsidRDefault="00160EFE" w:rsidP="00461EA7">
      <w:pPr>
        <w:spacing w:after="0" w:line="240" w:lineRule="auto"/>
        <w:jc w:val="both"/>
        <w:rPr>
          <w:sz w:val="20"/>
          <w:szCs w:val="20"/>
        </w:rPr>
      </w:pPr>
    </w:p>
    <w:p w:rsidR="002C6D17" w:rsidRDefault="00387813" w:rsidP="00461EA7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Plnění plánu vedlejší hospodářské činnosti za rok 2021 (v</w:t>
      </w:r>
      <w:r w:rsidR="00160EFE" w:rsidRPr="00160EFE">
        <w:rPr>
          <w:b/>
          <w:sz w:val="20"/>
          <w:szCs w:val="20"/>
        </w:rPr>
        <w:t xml:space="preserve"> Kč)</w:t>
      </w:r>
    </w:p>
    <w:tbl>
      <w:tblPr>
        <w:tblW w:w="6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560"/>
        <w:gridCol w:w="1460"/>
        <w:gridCol w:w="1100"/>
      </w:tblGrid>
      <w:tr w:rsidR="00387813" w:rsidRPr="00387813" w:rsidTr="00387813">
        <w:trPr>
          <w:trHeight w:val="28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Schválený plán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Plnění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Plnění v %</w:t>
            </w:r>
          </w:p>
        </w:tc>
      </w:tr>
      <w:tr w:rsidR="00387813" w:rsidRPr="00387813" w:rsidTr="00387813">
        <w:trPr>
          <w:trHeight w:val="288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Výnosy</w:t>
            </w:r>
          </w:p>
        </w:tc>
      </w:tr>
      <w:tr w:rsidR="00387813" w:rsidRPr="00387813" w:rsidTr="00387813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Prodej tepla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7 412 000,00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7 050 216,51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95,12%</w:t>
            </w:r>
          </w:p>
        </w:tc>
      </w:tr>
      <w:tr w:rsidR="00387813" w:rsidRPr="00387813" w:rsidTr="00387813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Úroky z účtu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707,05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0,00%</w:t>
            </w:r>
          </w:p>
        </w:tc>
      </w:tr>
      <w:tr w:rsidR="00387813" w:rsidRPr="00387813" w:rsidTr="00387813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Výnosy 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7 412 000,00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7 050 923,56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95,12%</w:t>
            </w:r>
          </w:p>
        </w:tc>
      </w:tr>
      <w:tr w:rsidR="00387813" w:rsidRPr="00387813" w:rsidTr="00387813">
        <w:trPr>
          <w:trHeight w:val="288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Náklady</w:t>
            </w:r>
          </w:p>
        </w:tc>
      </w:tr>
      <w:tr w:rsidR="00387813" w:rsidRPr="00387813" w:rsidTr="00387813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Správa tepelného </w:t>
            </w:r>
            <w:proofErr w:type="spellStart"/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hosp</w:t>
            </w:r>
            <w:proofErr w:type="spellEnd"/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407 745,08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106,18%</w:t>
            </w:r>
          </w:p>
        </w:tc>
      </w:tr>
      <w:tr w:rsidR="00387813" w:rsidRPr="00387813" w:rsidTr="00387813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Kotelna Zlatá Hora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5 206 000,00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4 748 620,23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91,21%</w:t>
            </w:r>
          </w:p>
        </w:tc>
      </w:tr>
      <w:tr w:rsidR="00387813" w:rsidRPr="00387813" w:rsidTr="00387813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>Kotelna Nádražní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285 032,38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89,07%</w:t>
            </w:r>
          </w:p>
        </w:tc>
      </w:tr>
      <w:tr w:rsidR="00387813" w:rsidRPr="00387813" w:rsidTr="00387813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Kotelna DPS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448 155,03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89,63%</w:t>
            </w:r>
          </w:p>
        </w:tc>
      </w:tr>
      <w:tr w:rsidR="00387813" w:rsidRPr="00387813" w:rsidTr="00387813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Kotelna Poliklinika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628 000,00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572 421,08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91,15%</w:t>
            </w:r>
          </w:p>
        </w:tc>
      </w:tr>
      <w:tr w:rsidR="00387813" w:rsidRPr="00387813" w:rsidTr="00387813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Náklady 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7 038 000,00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6 461 973,79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91,82%</w:t>
            </w:r>
          </w:p>
        </w:tc>
      </w:tr>
      <w:tr w:rsidR="00387813" w:rsidRPr="00387813" w:rsidTr="00387813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Výsledek hospodaření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374 000,00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588 949,77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157,47%</w:t>
            </w:r>
          </w:p>
        </w:tc>
      </w:tr>
    </w:tbl>
    <w:p w:rsidR="00387813" w:rsidRPr="00160EFE" w:rsidRDefault="00387813" w:rsidP="00461EA7">
      <w:pPr>
        <w:spacing w:after="0" w:line="240" w:lineRule="auto"/>
        <w:jc w:val="both"/>
        <w:rPr>
          <w:b/>
          <w:sz w:val="20"/>
          <w:szCs w:val="20"/>
        </w:rPr>
      </w:pPr>
    </w:p>
    <w:p w:rsidR="002C6D17" w:rsidRDefault="002C6D17" w:rsidP="00461EA7">
      <w:pPr>
        <w:spacing w:after="0" w:line="240" w:lineRule="auto"/>
        <w:jc w:val="both"/>
        <w:rPr>
          <w:b/>
          <w:sz w:val="20"/>
          <w:szCs w:val="20"/>
        </w:rPr>
      </w:pPr>
      <w:r w:rsidRPr="002C6D17">
        <w:rPr>
          <w:b/>
          <w:sz w:val="20"/>
          <w:szCs w:val="20"/>
        </w:rPr>
        <w:t>Výnosy</w:t>
      </w:r>
    </w:p>
    <w:p w:rsidR="002C00E9" w:rsidRDefault="00387813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Výnosy jsou realizovány z prodeje tepla odběratelům.</w:t>
      </w:r>
    </w:p>
    <w:p w:rsidR="00387813" w:rsidRDefault="00387813" w:rsidP="00461EA7">
      <w:pPr>
        <w:spacing w:after="0" w:line="240" w:lineRule="auto"/>
        <w:jc w:val="both"/>
        <w:rPr>
          <w:b/>
          <w:sz w:val="20"/>
          <w:szCs w:val="20"/>
        </w:rPr>
      </w:pPr>
    </w:p>
    <w:p w:rsidR="002C00E9" w:rsidRPr="002C00E9" w:rsidRDefault="002C00E9" w:rsidP="00461EA7">
      <w:pPr>
        <w:spacing w:after="0" w:line="240" w:lineRule="auto"/>
        <w:jc w:val="both"/>
        <w:rPr>
          <w:b/>
          <w:sz w:val="20"/>
          <w:szCs w:val="20"/>
        </w:rPr>
      </w:pPr>
      <w:r w:rsidRPr="002C00E9">
        <w:rPr>
          <w:b/>
          <w:sz w:val="20"/>
          <w:szCs w:val="20"/>
        </w:rPr>
        <w:t>Náklady</w:t>
      </w:r>
    </w:p>
    <w:p w:rsidR="002C00E9" w:rsidRDefault="002C00E9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Náklady hospodářské činnosti tvoří</w:t>
      </w:r>
      <w:r w:rsidR="00B90E3D">
        <w:rPr>
          <w:sz w:val="20"/>
          <w:szCs w:val="20"/>
        </w:rPr>
        <w:t xml:space="preserve"> především</w:t>
      </w:r>
      <w:r>
        <w:rPr>
          <w:sz w:val="20"/>
          <w:szCs w:val="20"/>
        </w:rPr>
        <w:t xml:space="preserve"> opravy a ud</w:t>
      </w:r>
      <w:r w:rsidR="00387813">
        <w:rPr>
          <w:sz w:val="20"/>
          <w:szCs w:val="20"/>
        </w:rPr>
        <w:t>ržování,</w:t>
      </w:r>
      <w:r>
        <w:rPr>
          <w:sz w:val="20"/>
          <w:szCs w:val="20"/>
        </w:rPr>
        <w:t xml:space="preserve"> mzdové náklady včetně </w:t>
      </w:r>
      <w:r w:rsidR="00387813">
        <w:rPr>
          <w:sz w:val="20"/>
          <w:szCs w:val="20"/>
        </w:rPr>
        <w:t>odvodů,</w:t>
      </w:r>
      <w:r>
        <w:rPr>
          <w:sz w:val="20"/>
          <w:szCs w:val="20"/>
        </w:rPr>
        <w:t xml:space="preserve"> spotřeba materiálu (předevš</w:t>
      </w:r>
      <w:r w:rsidR="00387813">
        <w:rPr>
          <w:sz w:val="20"/>
          <w:szCs w:val="20"/>
        </w:rPr>
        <w:t>ím plynu na kotelnách)</w:t>
      </w:r>
      <w:r>
        <w:rPr>
          <w:sz w:val="20"/>
          <w:szCs w:val="20"/>
        </w:rPr>
        <w:t>, odpisy ma</w:t>
      </w:r>
      <w:r w:rsidR="00387813">
        <w:rPr>
          <w:sz w:val="20"/>
          <w:szCs w:val="20"/>
        </w:rPr>
        <w:t>jetku a daň z příjmů právnických osob.</w:t>
      </w:r>
      <w:r w:rsidR="00B90E3D">
        <w:rPr>
          <w:sz w:val="20"/>
          <w:szCs w:val="20"/>
        </w:rPr>
        <w:t xml:space="preserve"> </w:t>
      </w:r>
    </w:p>
    <w:p w:rsidR="00B90E3D" w:rsidRDefault="00B90E3D" w:rsidP="00461EA7">
      <w:pPr>
        <w:spacing w:after="0" w:line="240" w:lineRule="auto"/>
        <w:jc w:val="both"/>
        <w:rPr>
          <w:sz w:val="20"/>
          <w:szCs w:val="20"/>
        </w:rPr>
      </w:pPr>
    </w:p>
    <w:p w:rsidR="002670B2" w:rsidRDefault="002670B2" w:rsidP="00461EA7">
      <w:pPr>
        <w:spacing w:after="0" w:line="240" w:lineRule="auto"/>
        <w:jc w:val="both"/>
        <w:rPr>
          <w:sz w:val="20"/>
          <w:szCs w:val="20"/>
        </w:rPr>
      </w:pPr>
    </w:p>
    <w:p w:rsidR="00263BB6" w:rsidRPr="00543466" w:rsidRDefault="00263BB6" w:rsidP="00263BB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543466">
        <w:rPr>
          <w:b/>
          <w:sz w:val="24"/>
          <w:szCs w:val="24"/>
        </w:rPr>
        <w:t>Zpráva o přezkoumání hospodaření</w:t>
      </w: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Přezkoumání hospodaření provedla firma AUDIT KORREKT, s. r. o., číslo oprávnění Komory auditorů ČR 258, IČ: 25131265, zapsaná v obchodním rejstříku Městský soud Praha, oddíl C, vložka 52299, a to na základě smlouvy ze dne 19. 5. 2011 a dodatku č. 1 ke smlouvě ze dne 27. 9. 2018.</w:t>
      </w: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</w:p>
    <w:p w:rsidR="00263BB6" w:rsidRDefault="00263BB6" w:rsidP="00263BB6">
      <w:pPr>
        <w:spacing w:after="0" w:line="240" w:lineRule="auto"/>
        <w:jc w:val="both"/>
        <w:rPr>
          <w:b/>
          <w:sz w:val="20"/>
          <w:szCs w:val="20"/>
        </w:rPr>
      </w:pPr>
      <w:r w:rsidRPr="00543466">
        <w:rPr>
          <w:b/>
          <w:sz w:val="20"/>
          <w:szCs w:val="20"/>
        </w:rPr>
        <w:t>Závěr zprávy</w:t>
      </w: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„Při přezkoumání hospodaření územního samosprávného celku </w:t>
      </w:r>
      <w:r w:rsidR="00F07B13">
        <w:rPr>
          <w:sz w:val="20"/>
          <w:szCs w:val="20"/>
        </w:rPr>
        <w:t>města Slavkov u Brna za rok 2021</w:t>
      </w:r>
      <w:r>
        <w:rPr>
          <w:sz w:val="20"/>
          <w:szCs w:val="20"/>
        </w:rPr>
        <w:t xml:space="preserve"> nebyly zjištěny chyby a nedostatky.“</w:t>
      </w:r>
    </w:p>
    <w:p w:rsidR="00263BB6" w:rsidRDefault="00263BB6" w:rsidP="00263BB6">
      <w:pPr>
        <w:spacing w:after="0" w:line="240" w:lineRule="auto"/>
        <w:jc w:val="both"/>
        <w:rPr>
          <w:sz w:val="20"/>
          <w:szCs w:val="20"/>
        </w:rPr>
      </w:pPr>
    </w:p>
    <w:p w:rsidR="00F11775" w:rsidRDefault="00F11775" w:rsidP="00461EA7">
      <w:pPr>
        <w:spacing w:after="0" w:line="240" w:lineRule="auto"/>
        <w:jc w:val="both"/>
        <w:rPr>
          <w:b/>
          <w:sz w:val="24"/>
          <w:szCs w:val="24"/>
        </w:rPr>
      </w:pPr>
    </w:p>
    <w:p w:rsidR="00F11775" w:rsidRDefault="00F11775" w:rsidP="00461EA7">
      <w:pPr>
        <w:spacing w:after="0" w:line="240" w:lineRule="auto"/>
        <w:jc w:val="both"/>
        <w:rPr>
          <w:b/>
          <w:sz w:val="24"/>
          <w:szCs w:val="24"/>
        </w:rPr>
      </w:pPr>
    </w:p>
    <w:p w:rsidR="002670B2" w:rsidRPr="002670B2" w:rsidRDefault="000C6FD9" w:rsidP="00461EA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63BB6">
        <w:rPr>
          <w:b/>
          <w:sz w:val="24"/>
          <w:szCs w:val="24"/>
        </w:rPr>
        <w:t xml:space="preserve">. </w:t>
      </w:r>
      <w:r w:rsidR="002670B2" w:rsidRPr="002670B2">
        <w:rPr>
          <w:b/>
          <w:sz w:val="24"/>
          <w:szCs w:val="24"/>
        </w:rPr>
        <w:t>Hospodaření příspěvkových organizací zřízených městem</w:t>
      </w:r>
    </w:p>
    <w:p w:rsidR="002670B2" w:rsidRDefault="002670B2" w:rsidP="00461EA7">
      <w:pPr>
        <w:spacing w:after="0" w:line="240" w:lineRule="auto"/>
        <w:jc w:val="both"/>
        <w:rPr>
          <w:sz w:val="20"/>
          <w:szCs w:val="20"/>
        </w:rPr>
      </w:pPr>
    </w:p>
    <w:p w:rsidR="002670B2" w:rsidRDefault="002670B2" w:rsidP="00461EA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Město Slavkov u Brna má zřízeno 7 příspěvkových organizací, z toho 5 školských a dvě neškolské příspěvkové orga</w:t>
      </w:r>
      <w:r w:rsidR="00CE445B">
        <w:rPr>
          <w:sz w:val="20"/>
          <w:szCs w:val="20"/>
        </w:rPr>
        <w:t>niz</w:t>
      </w:r>
      <w:r w:rsidR="009F5B75">
        <w:rPr>
          <w:sz w:val="20"/>
          <w:szCs w:val="20"/>
        </w:rPr>
        <w:t>ace. Rada města schválila dne 4. 4. 2022 na své 144</w:t>
      </w:r>
      <w:r w:rsidR="00CE445B">
        <w:rPr>
          <w:sz w:val="20"/>
          <w:szCs w:val="20"/>
        </w:rPr>
        <w:t>. schůzi účetní závěrky příspěvkových organizací k rozvahovému dn</w:t>
      </w:r>
      <w:r w:rsidR="009F5B75">
        <w:rPr>
          <w:sz w:val="20"/>
          <w:szCs w:val="20"/>
        </w:rPr>
        <w:t>i 31. 12. 2021</w:t>
      </w:r>
      <w:r w:rsidR="00CE445B">
        <w:rPr>
          <w:sz w:val="20"/>
          <w:szCs w:val="20"/>
        </w:rPr>
        <w:t xml:space="preserve"> a rozdělení výsledku hospodaření do fondů příspěvkových organizací.</w:t>
      </w:r>
    </w:p>
    <w:p w:rsidR="00CE445B" w:rsidRDefault="00CE445B" w:rsidP="00461EA7">
      <w:pPr>
        <w:spacing w:after="0" w:line="240" w:lineRule="auto"/>
        <w:jc w:val="both"/>
        <w:rPr>
          <w:sz w:val="20"/>
          <w:szCs w:val="20"/>
        </w:rPr>
      </w:pPr>
    </w:p>
    <w:p w:rsidR="0007770E" w:rsidRDefault="0007770E" w:rsidP="00461EA7">
      <w:pPr>
        <w:spacing w:after="0" w:line="240" w:lineRule="auto"/>
        <w:jc w:val="both"/>
        <w:rPr>
          <w:sz w:val="20"/>
          <w:szCs w:val="20"/>
        </w:rPr>
      </w:pPr>
    </w:p>
    <w:p w:rsidR="0007770E" w:rsidRDefault="0007770E" w:rsidP="00461EA7">
      <w:pPr>
        <w:spacing w:after="0" w:line="240" w:lineRule="auto"/>
        <w:jc w:val="both"/>
        <w:rPr>
          <w:sz w:val="20"/>
          <w:szCs w:val="20"/>
        </w:rPr>
      </w:pPr>
    </w:p>
    <w:p w:rsidR="00CE445B" w:rsidRPr="00CE445B" w:rsidRDefault="00CE445B" w:rsidP="00461EA7">
      <w:pPr>
        <w:spacing w:after="0" w:line="240" w:lineRule="auto"/>
        <w:jc w:val="both"/>
        <w:rPr>
          <w:b/>
          <w:sz w:val="20"/>
          <w:szCs w:val="20"/>
        </w:rPr>
      </w:pPr>
      <w:r w:rsidRPr="00CE445B">
        <w:rPr>
          <w:b/>
          <w:sz w:val="20"/>
          <w:szCs w:val="20"/>
        </w:rPr>
        <w:t>Výsledky hospodaření</w:t>
      </w:r>
      <w:r w:rsidR="00387813">
        <w:rPr>
          <w:b/>
          <w:sz w:val="20"/>
          <w:szCs w:val="20"/>
        </w:rPr>
        <w:t xml:space="preserve"> za rok 2021</w:t>
      </w:r>
      <w:r w:rsidRPr="00CE445B">
        <w:rPr>
          <w:b/>
          <w:sz w:val="20"/>
          <w:szCs w:val="20"/>
        </w:rPr>
        <w:t xml:space="preserve"> a převody do fondů příspěvkových organizací </w:t>
      </w:r>
      <w:r w:rsidR="00387813">
        <w:rPr>
          <w:b/>
          <w:sz w:val="20"/>
          <w:szCs w:val="20"/>
        </w:rPr>
        <w:t>(</w:t>
      </w:r>
      <w:r w:rsidRPr="00CE445B">
        <w:rPr>
          <w:b/>
          <w:sz w:val="20"/>
          <w:szCs w:val="20"/>
        </w:rPr>
        <w:t>v Kč</w:t>
      </w:r>
      <w:r w:rsidR="00387813">
        <w:rPr>
          <w:b/>
          <w:sz w:val="20"/>
          <w:szCs w:val="20"/>
        </w:rPr>
        <w:t>)</w:t>
      </w: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267"/>
        <w:gridCol w:w="1267"/>
        <w:gridCol w:w="1966"/>
        <w:gridCol w:w="1561"/>
        <w:gridCol w:w="1439"/>
      </w:tblGrid>
      <w:tr w:rsidR="00387813" w:rsidRPr="00387813" w:rsidTr="00387813">
        <w:trPr>
          <w:trHeight w:val="288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813" w:rsidRPr="00387813" w:rsidRDefault="00387813" w:rsidP="00387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Příspěvková organizace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813" w:rsidRPr="00387813" w:rsidRDefault="00387813" w:rsidP="00387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Rok 2021 (v Kč)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Návrh na převedení</w:t>
            </w:r>
          </w:p>
        </w:tc>
      </w:tr>
      <w:tr w:rsidR="00387813" w:rsidRPr="00387813" w:rsidTr="00387813">
        <w:trPr>
          <w:trHeight w:val="288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813" w:rsidRPr="00387813" w:rsidRDefault="00387813" w:rsidP="00387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výnosy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813" w:rsidRPr="00387813" w:rsidRDefault="00387813" w:rsidP="00387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náklady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813" w:rsidRPr="00387813" w:rsidRDefault="00387813" w:rsidP="00387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výsledek hospodaření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rezervní fond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fond odměn</w:t>
            </w:r>
          </w:p>
        </w:tc>
      </w:tr>
      <w:tr w:rsidR="00387813" w:rsidRPr="00387813" w:rsidTr="00387813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Technické služby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25 579 041,01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24 771 383,47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807 657,54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807 657,54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87813" w:rsidRPr="00387813" w:rsidTr="00387813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Zámek Slavkov-</w:t>
            </w:r>
            <w:proofErr w:type="spellStart"/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Austerlitz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19 682 373,44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19 675 913,44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6 460,00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6 460,00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87813" w:rsidRPr="00387813" w:rsidTr="00387813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ZŠ Komenského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64 669 401,63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63 943 361,43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726 040,20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726 040,20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87813" w:rsidRPr="00387813" w:rsidTr="00387813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ZŠ Tyršova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30 882 968,78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30 187 998,48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694 970,30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694 970,30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87813" w:rsidRPr="00387813" w:rsidTr="00387813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Mateřská škola </w:t>
            </w:r>
            <w:proofErr w:type="spellStart"/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Zvídálek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18 015 325,89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17 862 914,58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152 411,31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142 411,31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10 000,00</w:t>
            </w:r>
          </w:p>
        </w:tc>
      </w:tr>
      <w:tr w:rsidR="00387813" w:rsidRPr="00387813" w:rsidTr="00387813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umělecká škola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16 039 035,00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15 960 424,08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78 610,92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78 610,92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387813" w:rsidRPr="00387813" w:rsidTr="00387813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Dům dětí a mládeže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4 313 109,91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4 001 545,03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311 564,88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161 564,88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813" w:rsidRPr="00387813" w:rsidRDefault="00387813" w:rsidP="003878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3878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150 000,00</w:t>
            </w:r>
          </w:p>
        </w:tc>
      </w:tr>
    </w:tbl>
    <w:p w:rsidR="00CE445B" w:rsidRDefault="00CE445B" w:rsidP="00461EA7">
      <w:pPr>
        <w:spacing w:after="0" w:line="240" w:lineRule="auto"/>
        <w:jc w:val="both"/>
        <w:rPr>
          <w:sz w:val="20"/>
          <w:szCs w:val="20"/>
        </w:rPr>
      </w:pPr>
    </w:p>
    <w:p w:rsidR="000C5D98" w:rsidRPr="000C5D98" w:rsidRDefault="000C5D98" w:rsidP="00461EA7">
      <w:pPr>
        <w:spacing w:after="0" w:line="240" w:lineRule="auto"/>
        <w:jc w:val="both"/>
        <w:rPr>
          <w:b/>
          <w:sz w:val="20"/>
          <w:szCs w:val="20"/>
        </w:rPr>
      </w:pPr>
      <w:r w:rsidRPr="000C5D98">
        <w:rPr>
          <w:b/>
          <w:sz w:val="20"/>
          <w:szCs w:val="20"/>
        </w:rPr>
        <w:t>Stavy fondů příspěvkových organizací k 31. 12. 2</w:t>
      </w:r>
      <w:r w:rsidR="00387813">
        <w:rPr>
          <w:b/>
          <w:sz w:val="20"/>
          <w:szCs w:val="20"/>
        </w:rPr>
        <w:t>021 (v</w:t>
      </w:r>
      <w:r>
        <w:rPr>
          <w:b/>
          <w:sz w:val="20"/>
          <w:szCs w:val="20"/>
        </w:rPr>
        <w:t xml:space="preserve"> Kč)</w:t>
      </w: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709"/>
        <w:gridCol w:w="1627"/>
        <w:gridCol w:w="1388"/>
        <w:gridCol w:w="1388"/>
        <w:gridCol w:w="1388"/>
      </w:tblGrid>
      <w:tr w:rsidR="004E373C" w:rsidRPr="004E373C" w:rsidTr="004E373C">
        <w:trPr>
          <w:trHeight w:val="288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3C" w:rsidRPr="004E373C" w:rsidRDefault="004E373C" w:rsidP="004E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Příspěvková organizace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Stav fondu k 31. 12. 2021 (v Kč)</w:t>
            </w:r>
          </w:p>
        </w:tc>
      </w:tr>
      <w:tr w:rsidR="004E373C" w:rsidRPr="004E373C" w:rsidTr="004E373C">
        <w:trPr>
          <w:trHeight w:val="288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3C" w:rsidRPr="004E373C" w:rsidRDefault="004E373C" w:rsidP="004E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rezervní 413*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rezervní </w:t>
            </w:r>
            <w:r w:rsidRPr="004E37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414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investic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FKSP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odměn</w:t>
            </w:r>
          </w:p>
        </w:tc>
      </w:tr>
      <w:tr w:rsidR="004E373C" w:rsidRPr="004E373C" w:rsidTr="004E373C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Technické služby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323 547,05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629 008,91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214 612,41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200 500,00</w:t>
            </w:r>
          </w:p>
        </w:tc>
      </w:tr>
      <w:tr w:rsidR="004E373C" w:rsidRPr="004E373C" w:rsidTr="004E373C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Zámek Slavkov-</w:t>
            </w:r>
            <w:proofErr w:type="spellStart"/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Austerlitz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228 141,02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61 268,65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47 427,40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160 616,18</w:t>
            </w:r>
          </w:p>
        </w:tc>
      </w:tr>
      <w:tr w:rsidR="004E373C" w:rsidRPr="004E373C" w:rsidTr="004E373C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ZŠ Komenského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271 525,56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658 784,22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108 276,96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947 269,16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7 576,00</w:t>
            </w:r>
          </w:p>
        </w:tc>
      </w:tr>
      <w:tr w:rsidR="004E373C" w:rsidRPr="004E373C" w:rsidTr="004E373C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ZŠ Tyršova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723 168,46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898 831,15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117 864,70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799 300,48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60 000,00</w:t>
            </w:r>
          </w:p>
        </w:tc>
      </w:tr>
      <w:tr w:rsidR="004E373C" w:rsidRPr="004E373C" w:rsidTr="004E373C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lastRenderedPageBreak/>
              <w:t xml:space="preserve">Mateřská škola </w:t>
            </w:r>
            <w:proofErr w:type="spellStart"/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Zvídálek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216 449,95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543 314,00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439,00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91 550,55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96 323,00</w:t>
            </w:r>
          </w:p>
        </w:tc>
      </w:tr>
      <w:tr w:rsidR="004E373C" w:rsidRPr="004E373C" w:rsidTr="004E373C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Základní umělecká škola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543 175,14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126 470,90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164 008,70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315 600,00</w:t>
            </w:r>
          </w:p>
        </w:tc>
      </w:tr>
      <w:tr w:rsidR="004E373C" w:rsidRPr="004E373C" w:rsidTr="004E373C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Dům dětí a mládeže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537 573,27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534 341,28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4E37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130 316,62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3C" w:rsidRPr="004E373C" w:rsidRDefault="004E373C" w:rsidP="004E3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</w:tbl>
    <w:p w:rsidR="000C5D98" w:rsidRDefault="000C5D98" w:rsidP="00461EA7">
      <w:pPr>
        <w:spacing w:after="0" w:line="240" w:lineRule="auto"/>
        <w:jc w:val="both"/>
        <w:rPr>
          <w:sz w:val="20"/>
          <w:szCs w:val="20"/>
        </w:rPr>
      </w:pPr>
    </w:p>
    <w:p w:rsidR="00800CC4" w:rsidRPr="00800CC4" w:rsidRDefault="00800CC4" w:rsidP="00800CC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800CC4">
        <w:rPr>
          <w:sz w:val="20"/>
          <w:szCs w:val="20"/>
        </w:rPr>
        <w:t>Školské příspěvkové organizace tvoří na účtu 413 Rezervní fond z výsledk</w:t>
      </w:r>
      <w:r w:rsidR="004E373C">
        <w:rPr>
          <w:sz w:val="20"/>
          <w:szCs w:val="20"/>
        </w:rPr>
        <w:t>u hospodaření a dále na účtu 414</w:t>
      </w:r>
      <w:r>
        <w:rPr>
          <w:sz w:val="20"/>
          <w:szCs w:val="20"/>
        </w:rPr>
        <w:t xml:space="preserve"> Speciální rezervní fond, jehož příjmy tvoří přijaté dotace, projekty školy a dary.</w:t>
      </w:r>
    </w:p>
    <w:p w:rsidR="000C5D98" w:rsidRDefault="000C5D98" w:rsidP="00461EA7">
      <w:pPr>
        <w:spacing w:after="0" w:line="240" w:lineRule="auto"/>
        <w:jc w:val="both"/>
        <w:rPr>
          <w:sz w:val="20"/>
          <w:szCs w:val="20"/>
        </w:rPr>
      </w:pPr>
    </w:p>
    <w:p w:rsidR="00CE445B" w:rsidRDefault="00CE445B" w:rsidP="00461EA7">
      <w:pPr>
        <w:spacing w:after="0" w:line="240" w:lineRule="auto"/>
        <w:jc w:val="both"/>
        <w:rPr>
          <w:sz w:val="20"/>
          <w:szCs w:val="20"/>
        </w:rPr>
      </w:pPr>
    </w:p>
    <w:p w:rsidR="00FF42C4" w:rsidRDefault="00FF42C4" w:rsidP="00461EA7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FF42C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EB3" w:rsidRDefault="00E84EB3" w:rsidP="00160EFE">
      <w:pPr>
        <w:spacing w:after="0" w:line="240" w:lineRule="auto"/>
      </w:pPr>
      <w:r>
        <w:separator/>
      </w:r>
    </w:p>
  </w:endnote>
  <w:endnote w:type="continuationSeparator" w:id="0">
    <w:p w:rsidR="00E84EB3" w:rsidRDefault="00E84EB3" w:rsidP="0016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330404"/>
      <w:docPartObj>
        <w:docPartGallery w:val="Page Numbers (Bottom of Page)"/>
        <w:docPartUnique/>
      </w:docPartObj>
    </w:sdtPr>
    <w:sdtEndPr/>
    <w:sdtContent>
      <w:p w:rsidR="00BD08F4" w:rsidRDefault="00BD08F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2C4">
          <w:rPr>
            <w:noProof/>
          </w:rPr>
          <w:t>13</w:t>
        </w:r>
        <w:r>
          <w:fldChar w:fldCharType="end"/>
        </w:r>
      </w:p>
    </w:sdtContent>
  </w:sdt>
  <w:p w:rsidR="00BD08F4" w:rsidRDefault="00BD08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EB3" w:rsidRDefault="00E84EB3" w:rsidP="00160EFE">
      <w:pPr>
        <w:spacing w:after="0" w:line="240" w:lineRule="auto"/>
      </w:pPr>
      <w:r>
        <w:separator/>
      </w:r>
    </w:p>
  </w:footnote>
  <w:footnote w:type="continuationSeparator" w:id="0">
    <w:p w:rsidR="00E84EB3" w:rsidRDefault="00E84EB3" w:rsidP="00160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0C5"/>
    <w:multiLevelType w:val="hybridMultilevel"/>
    <w:tmpl w:val="F5E86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87D03"/>
    <w:multiLevelType w:val="hybridMultilevel"/>
    <w:tmpl w:val="5B9E3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62339"/>
    <w:multiLevelType w:val="hybridMultilevel"/>
    <w:tmpl w:val="D444B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42289"/>
    <w:multiLevelType w:val="hybridMultilevel"/>
    <w:tmpl w:val="5986D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172AA"/>
    <w:multiLevelType w:val="hybridMultilevel"/>
    <w:tmpl w:val="7338A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D4B01"/>
    <w:multiLevelType w:val="hybridMultilevel"/>
    <w:tmpl w:val="30E65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63"/>
    <w:rsid w:val="0002197A"/>
    <w:rsid w:val="00032A30"/>
    <w:rsid w:val="0004392F"/>
    <w:rsid w:val="00053336"/>
    <w:rsid w:val="00074BEB"/>
    <w:rsid w:val="0007770E"/>
    <w:rsid w:val="000C5D98"/>
    <w:rsid w:val="000C6FD9"/>
    <w:rsid w:val="000D7A7E"/>
    <w:rsid w:val="000F1C49"/>
    <w:rsid w:val="00101261"/>
    <w:rsid w:val="00115BED"/>
    <w:rsid w:val="001203EC"/>
    <w:rsid w:val="00152567"/>
    <w:rsid w:val="00157352"/>
    <w:rsid w:val="00160EFE"/>
    <w:rsid w:val="00191A4A"/>
    <w:rsid w:val="001B4D97"/>
    <w:rsid w:val="001E4E92"/>
    <w:rsid w:val="001F172D"/>
    <w:rsid w:val="00201B1B"/>
    <w:rsid w:val="00223F33"/>
    <w:rsid w:val="00232AC5"/>
    <w:rsid w:val="00263BB6"/>
    <w:rsid w:val="002670B2"/>
    <w:rsid w:val="00290659"/>
    <w:rsid w:val="00295A7D"/>
    <w:rsid w:val="002C00E9"/>
    <w:rsid w:val="002C1A55"/>
    <w:rsid w:val="002C26AD"/>
    <w:rsid w:val="002C6D17"/>
    <w:rsid w:val="00352044"/>
    <w:rsid w:val="003529A2"/>
    <w:rsid w:val="00353C9C"/>
    <w:rsid w:val="00375BCD"/>
    <w:rsid w:val="0038373A"/>
    <w:rsid w:val="00387813"/>
    <w:rsid w:val="003B5F1D"/>
    <w:rsid w:val="003B66E0"/>
    <w:rsid w:val="003E7DE0"/>
    <w:rsid w:val="003F7523"/>
    <w:rsid w:val="00400349"/>
    <w:rsid w:val="004164E2"/>
    <w:rsid w:val="00443EAA"/>
    <w:rsid w:val="00461EA7"/>
    <w:rsid w:val="00462C2F"/>
    <w:rsid w:val="004B45F9"/>
    <w:rsid w:val="004C71B1"/>
    <w:rsid w:val="004E373C"/>
    <w:rsid w:val="004F377B"/>
    <w:rsid w:val="00517F58"/>
    <w:rsid w:val="00543466"/>
    <w:rsid w:val="00563DB4"/>
    <w:rsid w:val="0057137F"/>
    <w:rsid w:val="005A0711"/>
    <w:rsid w:val="005A6D87"/>
    <w:rsid w:val="005F0219"/>
    <w:rsid w:val="00605738"/>
    <w:rsid w:val="00637248"/>
    <w:rsid w:val="00651235"/>
    <w:rsid w:val="00655766"/>
    <w:rsid w:val="00693363"/>
    <w:rsid w:val="006D3B06"/>
    <w:rsid w:val="006D73AE"/>
    <w:rsid w:val="006F6DE3"/>
    <w:rsid w:val="00725680"/>
    <w:rsid w:val="007708DA"/>
    <w:rsid w:val="007C37D7"/>
    <w:rsid w:val="007D7C70"/>
    <w:rsid w:val="007E61CD"/>
    <w:rsid w:val="00800CC4"/>
    <w:rsid w:val="0083020B"/>
    <w:rsid w:val="00833742"/>
    <w:rsid w:val="00835275"/>
    <w:rsid w:val="00836A92"/>
    <w:rsid w:val="00844233"/>
    <w:rsid w:val="0086241E"/>
    <w:rsid w:val="0088538D"/>
    <w:rsid w:val="00896FB7"/>
    <w:rsid w:val="00901758"/>
    <w:rsid w:val="009145FF"/>
    <w:rsid w:val="0093239F"/>
    <w:rsid w:val="00977E7C"/>
    <w:rsid w:val="00982992"/>
    <w:rsid w:val="0099685F"/>
    <w:rsid w:val="009A11BA"/>
    <w:rsid w:val="009E0449"/>
    <w:rsid w:val="009E365C"/>
    <w:rsid w:val="009F46EC"/>
    <w:rsid w:val="009F5B75"/>
    <w:rsid w:val="00A21E2D"/>
    <w:rsid w:val="00A56559"/>
    <w:rsid w:val="00A65A1A"/>
    <w:rsid w:val="00A70F55"/>
    <w:rsid w:val="00AC020E"/>
    <w:rsid w:val="00B34971"/>
    <w:rsid w:val="00B363CD"/>
    <w:rsid w:val="00B50431"/>
    <w:rsid w:val="00B5737B"/>
    <w:rsid w:val="00B74C9D"/>
    <w:rsid w:val="00B90E3D"/>
    <w:rsid w:val="00BB13EB"/>
    <w:rsid w:val="00BB432E"/>
    <w:rsid w:val="00BC382B"/>
    <w:rsid w:val="00BD08F4"/>
    <w:rsid w:val="00BF0FB7"/>
    <w:rsid w:val="00C03157"/>
    <w:rsid w:val="00C10EA2"/>
    <w:rsid w:val="00C16871"/>
    <w:rsid w:val="00C32447"/>
    <w:rsid w:val="00C67CAD"/>
    <w:rsid w:val="00C84CB6"/>
    <w:rsid w:val="00CD3116"/>
    <w:rsid w:val="00CE445B"/>
    <w:rsid w:val="00D1136D"/>
    <w:rsid w:val="00D25F89"/>
    <w:rsid w:val="00D27697"/>
    <w:rsid w:val="00D34B95"/>
    <w:rsid w:val="00D47616"/>
    <w:rsid w:val="00D96E11"/>
    <w:rsid w:val="00DA22BF"/>
    <w:rsid w:val="00DB02DC"/>
    <w:rsid w:val="00DC34D8"/>
    <w:rsid w:val="00DD1EFF"/>
    <w:rsid w:val="00DF13C7"/>
    <w:rsid w:val="00DF26D9"/>
    <w:rsid w:val="00E0114F"/>
    <w:rsid w:val="00E115C5"/>
    <w:rsid w:val="00E21559"/>
    <w:rsid w:val="00E24424"/>
    <w:rsid w:val="00E31983"/>
    <w:rsid w:val="00E35DDF"/>
    <w:rsid w:val="00E372ED"/>
    <w:rsid w:val="00E84EB3"/>
    <w:rsid w:val="00F07B13"/>
    <w:rsid w:val="00F11775"/>
    <w:rsid w:val="00F15BE0"/>
    <w:rsid w:val="00F2083D"/>
    <w:rsid w:val="00F308F0"/>
    <w:rsid w:val="00F341AD"/>
    <w:rsid w:val="00F37F17"/>
    <w:rsid w:val="00F61E9B"/>
    <w:rsid w:val="00FA1C44"/>
    <w:rsid w:val="00FA767F"/>
    <w:rsid w:val="00FD087B"/>
    <w:rsid w:val="00FD6F03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3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FB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EFE"/>
  </w:style>
  <w:style w:type="paragraph" w:styleId="Zpat">
    <w:name w:val="footer"/>
    <w:basedOn w:val="Normln"/>
    <w:link w:val="ZpatChar"/>
    <w:uiPriority w:val="99"/>
    <w:unhideWhenUsed/>
    <w:rsid w:val="0016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3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FB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EFE"/>
  </w:style>
  <w:style w:type="paragraph" w:styleId="Zpat">
    <w:name w:val="footer"/>
    <w:basedOn w:val="Normln"/>
    <w:link w:val="ZpatChar"/>
    <w:uiPriority w:val="99"/>
    <w:unhideWhenUsed/>
    <w:rsid w:val="0016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5949-6B55-40F3-BB79-690A8354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4763</Words>
  <Characters>28107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4</cp:revision>
  <cp:lastPrinted>2022-05-13T08:23:00Z</cp:lastPrinted>
  <dcterms:created xsi:type="dcterms:W3CDTF">2023-08-11T09:24:00Z</dcterms:created>
  <dcterms:modified xsi:type="dcterms:W3CDTF">2023-08-11T09:25:00Z</dcterms:modified>
</cp:coreProperties>
</file>