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E519B" w14:textId="77777777" w:rsidR="00377DF6" w:rsidRDefault="00D173A9" w:rsidP="00993408">
      <w:r>
        <w:tab/>
      </w:r>
    </w:p>
    <w:p w14:paraId="4B2DA8B6" w14:textId="77777777" w:rsidR="00377DF6" w:rsidRDefault="00377DF6" w:rsidP="00993408"/>
    <w:p w14:paraId="31AE1C32" w14:textId="77777777" w:rsidR="00672361" w:rsidRPr="00A348F5" w:rsidRDefault="00672361" w:rsidP="00993408"/>
    <w:p w14:paraId="7F7C67FA" w14:textId="77777777" w:rsidR="00C16F72" w:rsidRPr="00A348F5" w:rsidRDefault="00C16F72" w:rsidP="00993408"/>
    <w:p w14:paraId="62ADDC67" w14:textId="77777777" w:rsidR="00377DF6" w:rsidRDefault="00377DF6" w:rsidP="00993408"/>
    <w:p w14:paraId="42ED3B8D" w14:textId="79BC3EA3" w:rsidR="00D46DC7" w:rsidRPr="004F4117" w:rsidRDefault="0052692C" w:rsidP="00993408">
      <w:pPr>
        <w:rPr>
          <w:highlight w:val="yellow"/>
        </w:rPr>
      </w:pPr>
      <w:r w:rsidRPr="0052692C">
        <w:t xml:space="preserve"> </w:t>
      </w:r>
      <w:r w:rsidR="00CF4531" w:rsidRPr="00FB2891">
        <w:rPr>
          <w:noProof/>
          <w:lang w:eastAsia="cs-CZ"/>
        </w:rPr>
        <w:drawing>
          <wp:inline distT="0" distB="0" distL="0" distR="0" wp14:anchorId="64E1057A" wp14:editId="45BBEB53">
            <wp:extent cx="1371600" cy="1751965"/>
            <wp:effectExtent l="0" t="0" r="0" b="635"/>
            <wp:docPr id="708" name="Obrázek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26BCA" w14:textId="77777777" w:rsidR="00C16F72" w:rsidRPr="004F4117" w:rsidRDefault="00C16F72" w:rsidP="00993408">
      <w:pPr>
        <w:rPr>
          <w:highlight w:val="yellow"/>
        </w:rPr>
      </w:pPr>
    </w:p>
    <w:p w14:paraId="37BDD683" w14:textId="553FAF96" w:rsidR="00B01126" w:rsidRPr="009318B4" w:rsidRDefault="00B01126" w:rsidP="001B0489">
      <w:pPr>
        <w:pStyle w:val="Titulek"/>
      </w:pPr>
      <w:bookmarkStart w:id="0" w:name="_Toc189776139"/>
      <w:r w:rsidRPr="009318B4">
        <w:t>STŘEDNĚDOBÝ VÝHLED ROZPOČTU</w:t>
      </w:r>
      <w:r w:rsidRPr="009318B4">
        <w:br/>
      </w:r>
      <w:r w:rsidR="005002CF" w:rsidRPr="009318B4">
        <w:t xml:space="preserve">MĚSTA </w:t>
      </w:r>
      <w:r w:rsidR="001E2303">
        <w:t>Slavkov u Brna</w:t>
      </w:r>
      <w:r w:rsidRPr="009318B4">
        <w:t xml:space="preserve"> </w:t>
      </w:r>
      <w:r w:rsidRPr="009318B4">
        <w:br/>
      </w:r>
      <w:proofErr w:type="gramStart"/>
      <w:r w:rsidR="001E2303">
        <w:t>2026</w:t>
      </w:r>
      <w:r w:rsidRPr="009318B4">
        <w:t xml:space="preserve"> – </w:t>
      </w:r>
      <w:r w:rsidR="001E2303">
        <w:t>2030</w:t>
      </w:r>
      <w:bookmarkEnd w:id="0"/>
      <w:proofErr w:type="gramEnd"/>
    </w:p>
    <w:p w14:paraId="08DB26ED" w14:textId="77777777" w:rsidR="00B01126" w:rsidRPr="004F4117" w:rsidRDefault="00B01126" w:rsidP="00993408">
      <w:pPr>
        <w:rPr>
          <w:highlight w:val="yellow"/>
        </w:rPr>
      </w:pPr>
    </w:p>
    <w:p w14:paraId="5A710293" w14:textId="77777777" w:rsidR="00B01126" w:rsidRPr="004F4117" w:rsidRDefault="00B01126" w:rsidP="00993408">
      <w:pPr>
        <w:rPr>
          <w:highlight w:val="yellow"/>
        </w:rPr>
      </w:pPr>
    </w:p>
    <w:p w14:paraId="3C7CAF3F" w14:textId="77777777" w:rsidR="00B01126" w:rsidRPr="004F4117" w:rsidRDefault="00B01126" w:rsidP="00993408">
      <w:pPr>
        <w:rPr>
          <w:highlight w:val="yellow"/>
        </w:rPr>
      </w:pPr>
    </w:p>
    <w:p w14:paraId="165BE8AB" w14:textId="6B83B900" w:rsidR="00B01126" w:rsidRPr="00065036" w:rsidRDefault="001E2303" w:rsidP="00E13835">
      <w:pPr>
        <w:pStyle w:val="altNadpis1"/>
      </w:pPr>
      <w:r>
        <w:t>Aaa1</w:t>
      </w:r>
      <w:r w:rsidR="00B01126" w:rsidRPr="00065036">
        <w:t>/AQE</w:t>
      </w:r>
    </w:p>
    <w:p w14:paraId="5EF9A75C" w14:textId="6946B5FC" w:rsidR="00B01126" w:rsidRPr="00065036" w:rsidRDefault="001E2303" w:rsidP="00993408">
      <w:r>
        <w:t>Dobrá schopnost dostát finančním závazkům, subjekt může podléhat negativním vlivům a ekonomickým událostem.</w:t>
      </w:r>
      <w:r>
        <w:tab/>
      </w:r>
      <w:r>
        <w:tab/>
      </w:r>
      <w:r>
        <w:tab/>
      </w:r>
      <w:r w:rsidR="00C35808" w:rsidRPr="00065036">
        <w:t>.</w:t>
      </w:r>
    </w:p>
    <w:p w14:paraId="2A9659F4" w14:textId="77777777" w:rsidR="00C35808" w:rsidRPr="00065036" w:rsidRDefault="00C35808" w:rsidP="00993408"/>
    <w:p w14:paraId="65059DD6" w14:textId="6A3FCBCC" w:rsidR="00B01126" w:rsidRPr="00065036" w:rsidRDefault="001E2303" w:rsidP="00E13835">
      <w:pPr>
        <w:pStyle w:val="altNadpis1"/>
      </w:pPr>
      <w:r>
        <w:t>STR2</w:t>
      </w:r>
    </w:p>
    <w:p w14:paraId="2384FD6D" w14:textId="1AFEED3D" w:rsidR="00B01126" w:rsidRPr="00FB4E51" w:rsidRDefault="001E2303" w:rsidP="00065036">
      <w:r>
        <w:t>Velmi dobrý subjekt s vysokou schopností splácet své aktuální závazky</w:t>
      </w:r>
      <w:r>
        <w:tab/>
      </w:r>
      <w:r>
        <w:tab/>
      </w:r>
      <w:r>
        <w:tab/>
      </w:r>
    </w:p>
    <w:p w14:paraId="3FFAFA8A" w14:textId="77777777" w:rsidR="00762B46" w:rsidRDefault="00762B46">
      <w:pPr>
        <w:spacing w:before="0" w:after="200"/>
        <w:jc w:val="left"/>
        <w:rPr>
          <w:rStyle w:val="Hypertextovodkaz"/>
          <w:b/>
          <w:color w:val="2E3192"/>
          <w:sz w:val="28"/>
          <w:szCs w:val="28"/>
          <w:u w:val="none"/>
        </w:rPr>
      </w:pPr>
      <w:r>
        <w:rPr>
          <w:rStyle w:val="Hypertextovodkaz"/>
          <w:color w:val="2E3192"/>
          <w:u w:val="none"/>
        </w:rPr>
        <w:br w:type="page"/>
      </w:r>
    </w:p>
    <w:p w14:paraId="1A6A65F7" w14:textId="77777777" w:rsidR="00BA310E" w:rsidRPr="00793D98" w:rsidRDefault="00BA310E" w:rsidP="00BD50C3">
      <w:pPr>
        <w:pStyle w:val="altNadpis1"/>
        <w:rPr>
          <w:rStyle w:val="Hypertextovodkaz"/>
          <w:color w:val="2E3192"/>
          <w:u w:val="none"/>
        </w:rPr>
      </w:pPr>
      <w:r w:rsidRPr="00B2016B">
        <w:rPr>
          <w:rStyle w:val="Hypertextovodkaz"/>
          <w:color w:val="2E3192"/>
          <w:u w:val="none"/>
        </w:rPr>
        <w:lastRenderedPageBreak/>
        <w:t>Obsah</w:t>
      </w:r>
    </w:p>
    <w:p w14:paraId="7ED6626F" w14:textId="77777777" w:rsidR="00BA310E" w:rsidRPr="00793D98" w:rsidRDefault="00BA310E" w:rsidP="00993408"/>
    <w:p w14:paraId="51C073BC" w14:textId="036108E8" w:rsidR="006B4792" w:rsidRDefault="00DA3019">
      <w:pPr>
        <w:pStyle w:val="Obsah1"/>
        <w:rPr>
          <w:rFonts w:asciiTheme="minorHAnsi" w:hAnsiTheme="minorHAnsi"/>
          <w:color w:val="auto"/>
          <w:sz w:val="22"/>
          <w:szCs w:val="22"/>
          <w:lang w:eastAsia="cs-CZ"/>
        </w:rPr>
      </w:pPr>
      <w:r>
        <w:rPr>
          <w:rStyle w:val="Hypertextovodkaz"/>
          <w:color w:val="2E3192"/>
        </w:rPr>
        <w:fldChar w:fldCharType="begin"/>
      </w:r>
      <w:r>
        <w:rPr>
          <w:rStyle w:val="Hypertextovodkaz"/>
          <w:color w:val="2E3192"/>
        </w:rPr>
        <w:instrText xml:space="preserve"> TOC \o "1-2" \h \z \u </w:instrText>
      </w:r>
      <w:r>
        <w:rPr>
          <w:rStyle w:val="Hypertextovodkaz"/>
          <w:color w:val="2E3192"/>
        </w:rPr>
        <w:fldChar w:fldCharType="separate"/>
      </w:r>
      <w:hyperlink w:anchor="_Toc213758981" w:history="1">
        <w:r w:rsidR="006B4792" w:rsidRPr="005C1341">
          <w:rPr>
            <w:rStyle w:val="Hypertextovodkaz"/>
          </w:rPr>
          <w:t>Definice základních pojmů</w:t>
        </w:r>
        <w:r w:rsidR="006B4792">
          <w:rPr>
            <w:webHidden/>
          </w:rPr>
          <w:tab/>
        </w:r>
        <w:r w:rsidR="006B4792">
          <w:rPr>
            <w:webHidden/>
          </w:rPr>
          <w:fldChar w:fldCharType="begin"/>
        </w:r>
        <w:r w:rsidR="006B4792">
          <w:rPr>
            <w:webHidden/>
          </w:rPr>
          <w:instrText xml:space="preserve"> PAGEREF _Toc213758981 \h </w:instrText>
        </w:r>
        <w:r w:rsidR="006B4792">
          <w:rPr>
            <w:webHidden/>
          </w:rPr>
        </w:r>
        <w:r w:rsidR="006B4792">
          <w:rPr>
            <w:webHidden/>
          </w:rPr>
          <w:fldChar w:fldCharType="separate"/>
        </w:r>
        <w:r w:rsidR="006B4792">
          <w:rPr>
            <w:webHidden/>
          </w:rPr>
          <w:t>3</w:t>
        </w:r>
        <w:r w:rsidR="006B4792">
          <w:rPr>
            <w:webHidden/>
          </w:rPr>
          <w:fldChar w:fldCharType="end"/>
        </w:r>
      </w:hyperlink>
    </w:p>
    <w:p w14:paraId="5F24C15F" w14:textId="6E3FF482" w:rsidR="006B4792" w:rsidRDefault="006B4792">
      <w:pPr>
        <w:pStyle w:val="Obsah1"/>
        <w:rPr>
          <w:rFonts w:asciiTheme="minorHAnsi" w:hAnsiTheme="minorHAnsi"/>
          <w:color w:val="auto"/>
          <w:sz w:val="22"/>
          <w:szCs w:val="22"/>
          <w:lang w:eastAsia="cs-CZ"/>
        </w:rPr>
      </w:pPr>
      <w:hyperlink w:anchor="_Toc213758982" w:history="1">
        <w:r w:rsidRPr="005C1341">
          <w:rPr>
            <w:rStyle w:val="Hypertextovodkaz"/>
          </w:rPr>
          <w:t>Použité zkratky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_Toc213758982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01B3DB1" w14:textId="6CC98936" w:rsidR="006B4792" w:rsidRDefault="006B4792">
      <w:pPr>
        <w:pStyle w:val="Obsah1"/>
        <w:rPr>
          <w:rFonts w:asciiTheme="minorHAnsi" w:hAnsiTheme="minorHAnsi"/>
          <w:color w:val="auto"/>
          <w:sz w:val="22"/>
          <w:szCs w:val="22"/>
          <w:lang w:eastAsia="cs-CZ"/>
        </w:rPr>
      </w:pPr>
      <w:hyperlink w:anchor="_Toc213758983" w:history="1">
        <w:r w:rsidRPr="005C1341">
          <w:rPr>
            <w:rStyle w:val="Hypertextovodkaz"/>
          </w:rPr>
          <w:t>Úvod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_Toc213758983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501A8385" w14:textId="56CF8F7C" w:rsidR="006B4792" w:rsidRDefault="006B4792">
      <w:pPr>
        <w:pStyle w:val="Obsah1"/>
        <w:rPr>
          <w:rFonts w:asciiTheme="minorHAnsi" w:hAnsiTheme="minorHAnsi"/>
          <w:color w:val="auto"/>
          <w:sz w:val="22"/>
          <w:szCs w:val="22"/>
          <w:lang w:eastAsia="cs-CZ"/>
        </w:rPr>
      </w:pPr>
      <w:hyperlink w:anchor="_Toc213758984" w:history="1">
        <w:r w:rsidRPr="005C1341">
          <w:rPr>
            <w:rStyle w:val="Hypertextovodkaz"/>
          </w:rPr>
          <w:t>Postup tvorby střednědobého výhledu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_Toc213758984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4346574" w14:textId="2F6ED7CD" w:rsidR="006B4792" w:rsidRDefault="006B4792">
      <w:pPr>
        <w:pStyle w:val="Obsah1"/>
        <w:rPr>
          <w:rFonts w:asciiTheme="minorHAnsi" w:hAnsiTheme="minorHAnsi"/>
          <w:color w:val="auto"/>
          <w:sz w:val="22"/>
          <w:szCs w:val="22"/>
          <w:lang w:eastAsia="cs-CZ"/>
        </w:rPr>
      </w:pPr>
      <w:hyperlink w:anchor="_Toc213758985" w:history="1">
        <w:r w:rsidRPr="005C1341">
          <w:rPr>
            <w:rStyle w:val="Hypertextovodkaz"/>
          </w:rPr>
          <w:t>Manažerské shrnutí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_Toc213758985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924C858" w14:textId="7E9E6AB0" w:rsidR="006B4792" w:rsidRDefault="006B4792">
      <w:pPr>
        <w:pStyle w:val="Obsah1"/>
        <w:rPr>
          <w:rFonts w:asciiTheme="minorHAnsi" w:hAnsiTheme="minorHAnsi"/>
          <w:color w:val="auto"/>
          <w:sz w:val="22"/>
          <w:szCs w:val="22"/>
          <w:lang w:eastAsia="cs-CZ"/>
        </w:rPr>
      </w:pPr>
      <w:hyperlink w:anchor="_Toc213758986" w:history="1">
        <w:r w:rsidRPr="005C1341">
          <w:rPr>
            <w:rStyle w:val="Hypertextovodkaz"/>
          </w:rPr>
          <w:t>1</w:t>
        </w:r>
        <w:r>
          <w:rPr>
            <w:rFonts w:asciiTheme="minorHAnsi" w:hAnsiTheme="minorHAnsi"/>
            <w:color w:val="auto"/>
            <w:sz w:val="22"/>
            <w:szCs w:val="22"/>
            <w:lang w:eastAsia="cs-CZ"/>
          </w:rPr>
          <w:tab/>
        </w:r>
        <w:r w:rsidRPr="005C1341">
          <w:rPr>
            <w:rStyle w:val="Hypertextovodkaz"/>
          </w:rPr>
          <w:t>Analýza hospodaření uplynulého období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_Toc213758986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3268A18" w14:textId="39D194BD" w:rsidR="006B4792" w:rsidRDefault="006B4792">
      <w:pPr>
        <w:pStyle w:val="Obsah2"/>
        <w:tabs>
          <w:tab w:val="left" w:pos="880"/>
        </w:tabs>
        <w:rPr>
          <w:rFonts w:asciiTheme="minorHAnsi" w:hAnsiTheme="minorHAnsi"/>
          <w:noProof/>
          <w:color w:val="auto"/>
          <w:sz w:val="22"/>
          <w:szCs w:val="22"/>
          <w:lang w:eastAsia="cs-CZ"/>
        </w:rPr>
      </w:pPr>
      <w:hyperlink w:anchor="_Toc213758987" w:history="1">
        <w:r w:rsidRPr="005C1341">
          <w:rPr>
            <w:rStyle w:val="Hypertextovodkaz"/>
            <w:noProof/>
          </w:rPr>
          <w:t>1.1</w:t>
        </w:r>
        <w:r>
          <w:rPr>
            <w:rFonts w:asciiTheme="minorHAnsi" w:hAnsiTheme="minorHAnsi"/>
            <w:noProof/>
            <w:color w:val="auto"/>
            <w:sz w:val="22"/>
            <w:szCs w:val="22"/>
            <w:lang w:eastAsia="cs-CZ"/>
          </w:rPr>
          <w:tab/>
        </w:r>
        <w:r w:rsidRPr="005C1341">
          <w:rPr>
            <w:rStyle w:val="Hypertextovodkaz"/>
            <w:noProof/>
          </w:rPr>
          <w:t>Příjmy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88CA86A" w14:textId="5E82A099" w:rsidR="006B4792" w:rsidRDefault="006B4792">
      <w:pPr>
        <w:pStyle w:val="Obsah2"/>
        <w:tabs>
          <w:tab w:val="left" w:pos="880"/>
        </w:tabs>
        <w:rPr>
          <w:rFonts w:asciiTheme="minorHAnsi" w:hAnsiTheme="minorHAnsi"/>
          <w:noProof/>
          <w:color w:val="auto"/>
          <w:sz w:val="22"/>
          <w:szCs w:val="22"/>
          <w:lang w:eastAsia="cs-CZ"/>
        </w:rPr>
      </w:pPr>
      <w:hyperlink w:anchor="_Toc213758988" w:history="1">
        <w:r w:rsidRPr="005C1341">
          <w:rPr>
            <w:rStyle w:val="Hypertextovodkaz"/>
            <w:noProof/>
          </w:rPr>
          <w:t>1.2</w:t>
        </w:r>
        <w:r>
          <w:rPr>
            <w:rFonts w:asciiTheme="minorHAnsi" w:hAnsiTheme="minorHAnsi"/>
            <w:noProof/>
            <w:color w:val="auto"/>
            <w:sz w:val="22"/>
            <w:szCs w:val="22"/>
            <w:lang w:eastAsia="cs-CZ"/>
          </w:rPr>
          <w:tab/>
        </w:r>
        <w:r w:rsidRPr="005C1341">
          <w:rPr>
            <w:rStyle w:val="Hypertextovodkaz"/>
            <w:noProof/>
          </w:rPr>
          <w:t>Výdaje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725C15A" w14:textId="21D4B9DA" w:rsidR="006B4792" w:rsidRDefault="006B4792">
      <w:pPr>
        <w:pStyle w:val="Obsah2"/>
        <w:tabs>
          <w:tab w:val="left" w:pos="880"/>
        </w:tabs>
        <w:rPr>
          <w:rFonts w:asciiTheme="minorHAnsi" w:hAnsiTheme="minorHAnsi"/>
          <w:noProof/>
          <w:color w:val="auto"/>
          <w:sz w:val="22"/>
          <w:szCs w:val="22"/>
          <w:lang w:eastAsia="cs-CZ"/>
        </w:rPr>
      </w:pPr>
      <w:hyperlink w:anchor="_Toc213758989" w:history="1">
        <w:r w:rsidRPr="005C1341">
          <w:rPr>
            <w:rStyle w:val="Hypertextovodkaz"/>
            <w:noProof/>
          </w:rPr>
          <w:t>1.3</w:t>
        </w:r>
        <w:r>
          <w:rPr>
            <w:rFonts w:asciiTheme="minorHAnsi" w:hAnsiTheme="minorHAnsi"/>
            <w:noProof/>
            <w:color w:val="auto"/>
            <w:sz w:val="22"/>
            <w:szCs w:val="22"/>
            <w:lang w:eastAsia="cs-CZ"/>
          </w:rPr>
          <w:tab/>
        </w:r>
        <w:r w:rsidRPr="005C1341">
          <w:rPr>
            <w:rStyle w:val="Hypertextovodkaz"/>
            <w:noProof/>
          </w:rPr>
          <w:t>Hospodaření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E77612D" w14:textId="5116F1B6" w:rsidR="006B4792" w:rsidRDefault="006B4792">
      <w:pPr>
        <w:pStyle w:val="Obsah2"/>
        <w:tabs>
          <w:tab w:val="left" w:pos="880"/>
        </w:tabs>
        <w:rPr>
          <w:rFonts w:asciiTheme="minorHAnsi" w:hAnsiTheme="minorHAnsi"/>
          <w:noProof/>
          <w:color w:val="auto"/>
          <w:sz w:val="22"/>
          <w:szCs w:val="22"/>
          <w:lang w:eastAsia="cs-CZ"/>
        </w:rPr>
      </w:pPr>
      <w:hyperlink w:anchor="_Toc213758990" w:history="1">
        <w:r w:rsidRPr="005C1341">
          <w:rPr>
            <w:rStyle w:val="Hypertextovodkaz"/>
            <w:noProof/>
          </w:rPr>
          <w:t>1.4</w:t>
        </w:r>
        <w:r>
          <w:rPr>
            <w:rFonts w:asciiTheme="minorHAnsi" w:hAnsiTheme="minorHAnsi"/>
            <w:noProof/>
            <w:color w:val="auto"/>
            <w:sz w:val="22"/>
            <w:szCs w:val="22"/>
            <w:lang w:eastAsia="cs-CZ"/>
          </w:rPr>
          <w:tab/>
        </w:r>
        <w:r w:rsidRPr="005C1341">
          <w:rPr>
            <w:rStyle w:val="Hypertextovodkaz"/>
            <w:noProof/>
          </w:rPr>
          <w:t>Monitoring hospodaření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4D7E020" w14:textId="7853BDE9" w:rsidR="006B4792" w:rsidRDefault="006B4792">
      <w:pPr>
        <w:pStyle w:val="Obsah2"/>
        <w:tabs>
          <w:tab w:val="left" w:pos="880"/>
        </w:tabs>
        <w:rPr>
          <w:rFonts w:asciiTheme="minorHAnsi" w:hAnsiTheme="minorHAnsi"/>
          <w:noProof/>
          <w:color w:val="auto"/>
          <w:sz w:val="22"/>
          <w:szCs w:val="22"/>
          <w:lang w:eastAsia="cs-CZ"/>
        </w:rPr>
      </w:pPr>
      <w:hyperlink w:anchor="_Toc213758991" w:history="1">
        <w:r w:rsidRPr="005C1341">
          <w:rPr>
            <w:rStyle w:val="Hypertextovodkaz"/>
            <w:noProof/>
          </w:rPr>
          <w:t>1.5</w:t>
        </w:r>
        <w:r>
          <w:rPr>
            <w:rFonts w:asciiTheme="minorHAnsi" w:hAnsiTheme="minorHAnsi"/>
            <w:noProof/>
            <w:color w:val="auto"/>
            <w:sz w:val="22"/>
            <w:szCs w:val="22"/>
            <w:lang w:eastAsia="cs-CZ"/>
          </w:rPr>
          <w:tab/>
        </w:r>
        <w:r w:rsidRPr="005C1341">
          <w:rPr>
            <w:rStyle w:val="Hypertextovodkaz"/>
            <w:noProof/>
          </w:rPr>
          <w:t>Analýza cash flow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8BE114E" w14:textId="67687D3E" w:rsidR="006B4792" w:rsidRDefault="006B4792">
      <w:pPr>
        <w:pStyle w:val="Obsah2"/>
        <w:tabs>
          <w:tab w:val="left" w:pos="880"/>
        </w:tabs>
        <w:rPr>
          <w:rFonts w:asciiTheme="minorHAnsi" w:hAnsiTheme="minorHAnsi"/>
          <w:noProof/>
          <w:color w:val="auto"/>
          <w:sz w:val="22"/>
          <w:szCs w:val="22"/>
          <w:lang w:eastAsia="cs-CZ"/>
        </w:rPr>
      </w:pPr>
      <w:hyperlink w:anchor="_Toc213758992" w:history="1">
        <w:r w:rsidRPr="005C1341">
          <w:rPr>
            <w:rStyle w:val="Hypertextovodkaz"/>
            <w:noProof/>
          </w:rPr>
          <w:t>1.6</w:t>
        </w:r>
        <w:r>
          <w:rPr>
            <w:rFonts w:asciiTheme="minorHAnsi" w:hAnsiTheme="minorHAnsi"/>
            <w:noProof/>
            <w:color w:val="auto"/>
            <w:sz w:val="22"/>
            <w:szCs w:val="22"/>
            <w:lang w:eastAsia="cs-CZ"/>
          </w:rPr>
          <w:tab/>
        </w:r>
        <w:r w:rsidRPr="005C1341">
          <w:rPr>
            <w:rStyle w:val="Hypertextovodkaz"/>
            <w:noProof/>
          </w:rPr>
          <w:t>Závěry analýzy hospodaření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EAAA38B" w14:textId="1526CA60" w:rsidR="006B4792" w:rsidRDefault="006B4792">
      <w:pPr>
        <w:pStyle w:val="Obsah1"/>
        <w:rPr>
          <w:rFonts w:asciiTheme="minorHAnsi" w:hAnsiTheme="minorHAnsi"/>
          <w:color w:val="auto"/>
          <w:sz w:val="22"/>
          <w:szCs w:val="22"/>
          <w:lang w:eastAsia="cs-CZ"/>
        </w:rPr>
      </w:pPr>
      <w:hyperlink w:anchor="_Toc213758993" w:history="1">
        <w:r w:rsidRPr="005C1341">
          <w:rPr>
            <w:rStyle w:val="Hypertextovodkaz"/>
          </w:rPr>
          <w:t>2</w:t>
        </w:r>
        <w:r>
          <w:rPr>
            <w:rFonts w:asciiTheme="minorHAnsi" w:hAnsiTheme="minorHAnsi"/>
            <w:color w:val="auto"/>
            <w:sz w:val="22"/>
            <w:szCs w:val="22"/>
            <w:lang w:eastAsia="cs-CZ"/>
          </w:rPr>
          <w:tab/>
        </w:r>
        <w:r w:rsidRPr="005C1341">
          <w:rPr>
            <w:rStyle w:val="Hypertextovodkaz"/>
          </w:rPr>
          <w:t>Střednědobý výhled rozpočtu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_Toc213758993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0350ECE8" w14:textId="4F7BCDE8" w:rsidR="006B4792" w:rsidRDefault="006B4792">
      <w:pPr>
        <w:pStyle w:val="Obsah2"/>
        <w:tabs>
          <w:tab w:val="left" w:pos="880"/>
        </w:tabs>
        <w:rPr>
          <w:rFonts w:asciiTheme="minorHAnsi" w:hAnsiTheme="minorHAnsi"/>
          <w:noProof/>
          <w:color w:val="auto"/>
          <w:sz w:val="22"/>
          <w:szCs w:val="22"/>
          <w:lang w:eastAsia="cs-CZ"/>
        </w:rPr>
      </w:pPr>
      <w:hyperlink w:anchor="_Toc213758994" w:history="1">
        <w:r w:rsidRPr="005C1341">
          <w:rPr>
            <w:rStyle w:val="Hypertextovodkaz"/>
            <w:noProof/>
          </w:rPr>
          <w:t>2.1</w:t>
        </w:r>
        <w:r>
          <w:rPr>
            <w:rFonts w:asciiTheme="minorHAnsi" w:hAnsiTheme="minorHAnsi"/>
            <w:noProof/>
            <w:color w:val="auto"/>
            <w:sz w:val="22"/>
            <w:szCs w:val="22"/>
            <w:lang w:eastAsia="cs-CZ"/>
          </w:rPr>
          <w:tab/>
        </w:r>
        <w:r w:rsidRPr="005C1341">
          <w:rPr>
            <w:rStyle w:val="Hypertextovodkaz"/>
            <w:noProof/>
          </w:rPr>
          <w:t>Provozní hospodaření výhledového období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29D38DA" w14:textId="192C8B58" w:rsidR="006B4792" w:rsidRDefault="006B4792">
      <w:pPr>
        <w:pStyle w:val="Obsah2"/>
        <w:tabs>
          <w:tab w:val="left" w:pos="880"/>
        </w:tabs>
        <w:rPr>
          <w:rFonts w:asciiTheme="minorHAnsi" w:hAnsiTheme="minorHAnsi"/>
          <w:noProof/>
          <w:color w:val="auto"/>
          <w:sz w:val="22"/>
          <w:szCs w:val="22"/>
          <w:lang w:eastAsia="cs-CZ"/>
        </w:rPr>
      </w:pPr>
      <w:hyperlink w:anchor="_Toc213758995" w:history="1">
        <w:r w:rsidRPr="005C1341">
          <w:rPr>
            <w:rStyle w:val="Hypertextovodkaz"/>
            <w:noProof/>
          </w:rPr>
          <w:t>2.2</w:t>
        </w:r>
        <w:r>
          <w:rPr>
            <w:rFonts w:asciiTheme="minorHAnsi" w:hAnsiTheme="minorHAnsi"/>
            <w:noProof/>
            <w:color w:val="auto"/>
            <w:sz w:val="22"/>
            <w:szCs w:val="22"/>
            <w:lang w:eastAsia="cs-CZ"/>
          </w:rPr>
          <w:tab/>
        </w:r>
        <w:r w:rsidRPr="005C1341">
          <w:rPr>
            <w:rStyle w:val="Hypertextovodkaz"/>
            <w:noProof/>
          </w:rPr>
          <w:t>Kapitálové hospodaření výhledového období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49AE25B" w14:textId="07C02390" w:rsidR="006B4792" w:rsidRDefault="006B4792">
      <w:pPr>
        <w:pStyle w:val="Obsah2"/>
        <w:tabs>
          <w:tab w:val="left" w:pos="880"/>
        </w:tabs>
        <w:rPr>
          <w:rFonts w:asciiTheme="minorHAnsi" w:hAnsiTheme="minorHAnsi"/>
          <w:noProof/>
          <w:color w:val="auto"/>
          <w:sz w:val="22"/>
          <w:szCs w:val="22"/>
          <w:lang w:eastAsia="cs-CZ"/>
        </w:rPr>
      </w:pPr>
      <w:hyperlink w:anchor="_Toc213758996" w:history="1">
        <w:r w:rsidRPr="005C1341">
          <w:rPr>
            <w:rStyle w:val="Hypertextovodkaz"/>
            <w:noProof/>
          </w:rPr>
          <w:t>2.3</w:t>
        </w:r>
        <w:r>
          <w:rPr>
            <w:rFonts w:asciiTheme="minorHAnsi" w:hAnsiTheme="minorHAnsi"/>
            <w:noProof/>
            <w:color w:val="auto"/>
            <w:sz w:val="22"/>
            <w:szCs w:val="22"/>
            <w:lang w:eastAsia="cs-CZ"/>
          </w:rPr>
          <w:tab/>
        </w:r>
        <w:r w:rsidRPr="005C1341">
          <w:rPr>
            <w:rStyle w:val="Hypertextovodkaz"/>
            <w:noProof/>
          </w:rPr>
          <w:t>Celkové hospodaření výhledového období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4EAA1C2" w14:textId="188DB072" w:rsidR="006B4792" w:rsidRDefault="006B4792">
      <w:pPr>
        <w:pStyle w:val="Obsah2"/>
        <w:tabs>
          <w:tab w:val="left" w:pos="880"/>
        </w:tabs>
        <w:rPr>
          <w:rFonts w:asciiTheme="minorHAnsi" w:hAnsiTheme="minorHAnsi"/>
          <w:noProof/>
          <w:color w:val="auto"/>
          <w:sz w:val="22"/>
          <w:szCs w:val="22"/>
          <w:lang w:eastAsia="cs-CZ"/>
        </w:rPr>
      </w:pPr>
      <w:hyperlink w:anchor="_Toc213758997" w:history="1">
        <w:r w:rsidRPr="005C1341">
          <w:rPr>
            <w:rStyle w:val="Hypertextovodkaz"/>
            <w:noProof/>
          </w:rPr>
          <w:t>2.4</w:t>
        </w:r>
        <w:r>
          <w:rPr>
            <w:rFonts w:asciiTheme="minorHAnsi" w:hAnsiTheme="minorHAnsi"/>
            <w:noProof/>
            <w:color w:val="auto"/>
            <w:sz w:val="22"/>
            <w:szCs w:val="22"/>
            <w:lang w:eastAsia="cs-CZ"/>
          </w:rPr>
          <w:tab/>
        </w:r>
        <w:r w:rsidRPr="005C1341">
          <w:rPr>
            <w:rStyle w:val="Hypertextovodkaz"/>
            <w:noProof/>
          </w:rPr>
          <w:t>Dluhová služba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84C9479" w14:textId="7DF1A359" w:rsidR="006B4792" w:rsidRDefault="006B4792">
      <w:pPr>
        <w:pStyle w:val="Obsah2"/>
        <w:tabs>
          <w:tab w:val="left" w:pos="880"/>
        </w:tabs>
        <w:rPr>
          <w:rFonts w:asciiTheme="minorHAnsi" w:hAnsiTheme="minorHAnsi"/>
          <w:noProof/>
          <w:color w:val="auto"/>
          <w:sz w:val="22"/>
          <w:szCs w:val="22"/>
          <w:lang w:eastAsia="cs-CZ"/>
        </w:rPr>
      </w:pPr>
      <w:hyperlink w:anchor="_Toc213758998" w:history="1">
        <w:r w:rsidRPr="005C1341">
          <w:rPr>
            <w:rStyle w:val="Hypertextovodkaz"/>
            <w:noProof/>
          </w:rPr>
          <w:t>2.5</w:t>
        </w:r>
        <w:r>
          <w:rPr>
            <w:rFonts w:asciiTheme="minorHAnsi" w:hAnsiTheme="minorHAnsi"/>
            <w:noProof/>
            <w:color w:val="auto"/>
            <w:sz w:val="22"/>
            <w:szCs w:val="22"/>
            <w:lang w:eastAsia="cs-CZ"/>
          </w:rPr>
          <w:tab/>
        </w:r>
        <w:r w:rsidRPr="005C1341">
          <w:rPr>
            <w:rStyle w:val="Hypertextovodkaz"/>
            <w:noProof/>
          </w:rPr>
          <w:t>Analýza zadlužení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CE8CFAE" w14:textId="0676ED47" w:rsidR="006B4792" w:rsidRDefault="006B4792">
      <w:pPr>
        <w:pStyle w:val="Obsah1"/>
        <w:rPr>
          <w:rFonts w:asciiTheme="minorHAnsi" w:hAnsiTheme="minorHAnsi"/>
          <w:color w:val="auto"/>
          <w:sz w:val="22"/>
          <w:szCs w:val="22"/>
          <w:lang w:eastAsia="cs-CZ"/>
        </w:rPr>
      </w:pPr>
      <w:hyperlink w:anchor="_Toc213758999" w:history="1">
        <w:r w:rsidRPr="005C1341">
          <w:rPr>
            <w:rStyle w:val="Hypertextovodkaz"/>
          </w:rPr>
          <w:t>3</w:t>
        </w:r>
        <w:r>
          <w:rPr>
            <w:rFonts w:asciiTheme="minorHAnsi" w:hAnsiTheme="minorHAnsi"/>
            <w:color w:val="auto"/>
            <w:sz w:val="22"/>
            <w:szCs w:val="22"/>
            <w:lang w:eastAsia="cs-CZ"/>
          </w:rPr>
          <w:tab/>
        </w:r>
        <w:r w:rsidRPr="005C1341">
          <w:rPr>
            <w:rStyle w:val="Hypertextovodkaz"/>
          </w:rPr>
          <w:t>Ekonomické hodnocení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_Toc213758999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14:paraId="6A742B5D" w14:textId="03C17C78" w:rsidR="006B4792" w:rsidRDefault="006B4792">
      <w:pPr>
        <w:pStyle w:val="Obsah1"/>
        <w:rPr>
          <w:rFonts w:asciiTheme="minorHAnsi" w:hAnsiTheme="minorHAnsi"/>
          <w:color w:val="auto"/>
          <w:sz w:val="22"/>
          <w:szCs w:val="22"/>
          <w:lang w:eastAsia="cs-CZ"/>
        </w:rPr>
      </w:pPr>
      <w:hyperlink w:anchor="_Toc213759000" w:history="1">
        <w:r w:rsidRPr="005C1341">
          <w:rPr>
            <w:rStyle w:val="Hypertextovodkaz"/>
          </w:rPr>
          <w:t>Závěr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_Toc213759000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05B070DF" w14:textId="7A383286" w:rsidR="006B4792" w:rsidRDefault="006B4792">
      <w:pPr>
        <w:pStyle w:val="Obsah1"/>
        <w:rPr>
          <w:rFonts w:asciiTheme="minorHAnsi" w:hAnsiTheme="minorHAnsi"/>
          <w:color w:val="auto"/>
          <w:sz w:val="22"/>
          <w:szCs w:val="22"/>
          <w:lang w:eastAsia="cs-CZ"/>
        </w:rPr>
      </w:pPr>
      <w:hyperlink w:anchor="_Toc213759001" w:history="1">
        <w:r w:rsidRPr="005C1341">
          <w:rPr>
            <w:rStyle w:val="Hypertextovodkaz"/>
          </w:rPr>
          <w:t>Seznam tabulek a grafů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_Toc213759001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5CE6C592" w14:textId="4FFAF3AF" w:rsidR="006B4792" w:rsidRDefault="006B4792">
      <w:pPr>
        <w:pStyle w:val="Obsah1"/>
        <w:rPr>
          <w:rFonts w:asciiTheme="minorHAnsi" w:hAnsiTheme="minorHAnsi"/>
          <w:color w:val="auto"/>
          <w:sz w:val="22"/>
          <w:szCs w:val="22"/>
          <w:lang w:eastAsia="cs-CZ"/>
        </w:rPr>
      </w:pPr>
      <w:hyperlink w:anchor="_Toc213759002" w:history="1">
        <w:r w:rsidRPr="005C1341">
          <w:rPr>
            <w:rStyle w:val="Hypertextovodkaz"/>
          </w:rPr>
          <w:t>Seznam infografik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_Toc213759002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14:paraId="1C365279" w14:textId="3525F618" w:rsidR="006B4792" w:rsidRDefault="006B4792">
      <w:pPr>
        <w:pStyle w:val="Obsah1"/>
        <w:rPr>
          <w:rFonts w:asciiTheme="minorHAnsi" w:hAnsiTheme="minorHAnsi"/>
          <w:color w:val="auto"/>
          <w:sz w:val="22"/>
          <w:szCs w:val="22"/>
          <w:lang w:eastAsia="cs-CZ"/>
        </w:rPr>
      </w:pPr>
      <w:hyperlink w:anchor="_Toc213759003" w:history="1">
        <w:r w:rsidRPr="005C1341">
          <w:rPr>
            <w:rStyle w:val="Hypertextovodkaz"/>
          </w:rPr>
          <w:t>Seznam příloh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_Toc213759003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14:paraId="2DC9370D" w14:textId="6B06BD07" w:rsidR="00066709" w:rsidRDefault="00DA3019" w:rsidP="00572F00">
      <w:pPr>
        <w:pStyle w:val="Obsah1"/>
        <w:rPr>
          <w:rStyle w:val="Hypertextovodkaz"/>
          <w:color w:val="2E3192"/>
        </w:rPr>
      </w:pPr>
      <w:r>
        <w:rPr>
          <w:rStyle w:val="Hypertextovodkaz"/>
          <w:color w:val="2E3192"/>
        </w:rPr>
        <w:fldChar w:fldCharType="end"/>
      </w:r>
      <w:r w:rsidR="00066709">
        <w:rPr>
          <w:rStyle w:val="Hypertextovodkaz"/>
          <w:color w:val="2E3192"/>
        </w:rPr>
        <w:br w:type="page"/>
      </w:r>
    </w:p>
    <w:p w14:paraId="1B51BB47" w14:textId="77777777" w:rsidR="00D26773" w:rsidRPr="00F15ADB" w:rsidRDefault="00D26773" w:rsidP="00D26773">
      <w:pPr>
        <w:pStyle w:val="Nadpis1"/>
        <w:numPr>
          <w:ilvl w:val="0"/>
          <w:numId w:val="0"/>
        </w:numPr>
      </w:pPr>
      <w:bookmarkStart w:id="1" w:name="_Toc213758981"/>
      <w:bookmarkStart w:id="2" w:name="_Toc355271388"/>
      <w:bookmarkStart w:id="3" w:name="_Toc62211713"/>
      <w:bookmarkStart w:id="4" w:name="_Toc62211714"/>
      <w:r w:rsidRPr="00F15ADB">
        <w:lastRenderedPageBreak/>
        <w:t>Definice základních pojmů</w:t>
      </w:r>
      <w:bookmarkEnd w:id="1"/>
    </w:p>
    <w:p w14:paraId="3EE2D9BA" w14:textId="77777777" w:rsidR="00680285" w:rsidRPr="00680285" w:rsidRDefault="00680285" w:rsidP="00A619C9">
      <w:pPr>
        <w:pStyle w:val="Kaskda0"/>
        <w:numPr>
          <w:ilvl w:val="0"/>
          <w:numId w:val="20"/>
        </w:numPr>
        <w:spacing w:before="120"/>
      </w:pPr>
      <w:r w:rsidRPr="00680285">
        <w:rPr>
          <w:b/>
          <w:bCs/>
        </w:rPr>
        <w:t>Příjmy</w:t>
      </w:r>
      <w:r w:rsidRPr="00680285">
        <w:t xml:space="preserve"> – jsou veškeré nenávratně inkasované prostředky, opětované i neopětované, včetně přijatých darů a dotací, a přijaté splátky půjček v rámci rozpočtové politiky. Příjmy jsou členěny na běžné a kapitálové. Běžné příjmy jsou tvořeny příjmy daňovými, nedaňovými a provozními dotacemi. Jedná se tedy o každoročně se opakující příjmy, které slouží k pokrytí běžných výdajů. Investiční příjmy, tj. příjmy z prodeje dlouhodobého a finančního majetku, a investiční dotace, mají charakter nahodilých příjmů a jsou určeny především k pokrytí investičních záměrů ÚSC. </w:t>
      </w:r>
    </w:p>
    <w:p w14:paraId="1FC7865B" w14:textId="77777777" w:rsidR="00680285" w:rsidRPr="00680285" w:rsidRDefault="00680285" w:rsidP="00A619C9">
      <w:pPr>
        <w:pStyle w:val="Kaskda0"/>
        <w:numPr>
          <w:ilvl w:val="0"/>
          <w:numId w:val="20"/>
        </w:numPr>
        <w:spacing w:before="120"/>
      </w:pPr>
      <w:r w:rsidRPr="00680285">
        <w:rPr>
          <w:b/>
          <w:bCs/>
        </w:rPr>
        <w:t>Výdaje</w:t>
      </w:r>
      <w:r w:rsidRPr="00680285">
        <w:t xml:space="preserve"> – jsou veškeré nenávratné platby na běžné (neinvestiční) i kapitálové (investiční) účely, opětované i neopětované, a poskytované návratné platby (půjčky) v rámci rozpočtové politiky. Běžné (nebo také provozní) výdaje musí ÚSC vynaložit ze zákona nebo těmito výdaji financovat provozní aktivity. Realizace záměrů a potřeb ÚSC včetně naplňování volebního programu se uskutečňuje prostřednictvím výdajů. ÚSC k těmto cílům používá veřejné prostředky, proto musí finanční prostředky před vynaložením důkladně analyzovat.</w:t>
      </w:r>
    </w:p>
    <w:p w14:paraId="298A4632" w14:textId="77777777" w:rsidR="00D26773" w:rsidRPr="00F15ADB" w:rsidRDefault="00D26773" w:rsidP="00A619C9">
      <w:pPr>
        <w:pStyle w:val="Kaskda0"/>
        <w:numPr>
          <w:ilvl w:val="0"/>
          <w:numId w:val="20"/>
        </w:numPr>
        <w:spacing w:before="120"/>
      </w:pPr>
      <w:r w:rsidRPr="00F15ADB">
        <w:rPr>
          <w:b/>
        </w:rPr>
        <w:t>Běžné příjmy</w:t>
      </w:r>
      <w:r w:rsidRPr="00F15ADB">
        <w:t xml:space="preserve"> – daňové příjmy, nedaňové příjmy a provozní dotace (transfery)</w:t>
      </w:r>
      <w:r w:rsidR="005134D6">
        <w:t>.</w:t>
      </w:r>
    </w:p>
    <w:p w14:paraId="38B3B6DE" w14:textId="77777777" w:rsidR="00D26773" w:rsidRPr="00F15ADB" w:rsidRDefault="00D26773" w:rsidP="00A619C9">
      <w:pPr>
        <w:pStyle w:val="Kaskda0"/>
        <w:numPr>
          <w:ilvl w:val="0"/>
          <w:numId w:val="20"/>
        </w:numPr>
        <w:spacing w:before="120"/>
      </w:pPr>
      <w:r w:rsidRPr="00F15ADB">
        <w:rPr>
          <w:b/>
        </w:rPr>
        <w:t xml:space="preserve">Kapitálové příjmy </w:t>
      </w:r>
      <w:r w:rsidRPr="00F15ADB">
        <w:t>– prodej pozemků, ostatních nemovitostí, akcií a majetkových práv</w:t>
      </w:r>
      <w:r w:rsidR="005134D6">
        <w:t>.</w:t>
      </w:r>
    </w:p>
    <w:p w14:paraId="617B4028" w14:textId="77777777" w:rsidR="00D26773" w:rsidRPr="00F15ADB" w:rsidRDefault="00D26773" w:rsidP="00A619C9">
      <w:pPr>
        <w:pStyle w:val="Kaskda0"/>
        <w:numPr>
          <w:ilvl w:val="0"/>
          <w:numId w:val="20"/>
        </w:numPr>
        <w:spacing w:before="120"/>
      </w:pPr>
      <w:r w:rsidRPr="00F15ADB">
        <w:rPr>
          <w:b/>
        </w:rPr>
        <w:t xml:space="preserve">Investiční příjmy </w:t>
      </w:r>
      <w:r w:rsidRPr="00F15ADB">
        <w:t>– obsahují kapitálové příjmy a investiční dotace (transfery)</w:t>
      </w:r>
      <w:r w:rsidR="005134D6">
        <w:t>.</w:t>
      </w:r>
    </w:p>
    <w:p w14:paraId="505932BF" w14:textId="77777777" w:rsidR="00D26773" w:rsidRPr="00F15ADB" w:rsidRDefault="00D26773" w:rsidP="00A619C9">
      <w:pPr>
        <w:pStyle w:val="Kaskda0"/>
        <w:numPr>
          <w:ilvl w:val="0"/>
          <w:numId w:val="20"/>
        </w:numPr>
        <w:spacing w:before="120"/>
      </w:pPr>
      <w:r w:rsidRPr="00F15ADB">
        <w:rPr>
          <w:b/>
        </w:rPr>
        <w:t xml:space="preserve">Provozní přebytek </w:t>
      </w:r>
      <w:r w:rsidRPr="00F15ADB">
        <w:t>(saldo</w:t>
      </w:r>
      <w:r w:rsidRPr="00F15ADB">
        <w:rPr>
          <w:b/>
        </w:rPr>
        <w:t xml:space="preserve"> </w:t>
      </w:r>
      <w:r w:rsidRPr="00F15ADB">
        <w:t xml:space="preserve">provozního rozpočtu) – rozdíl běžných příjmů a běžných výdajů. Výše provozního přebytku by měla </w:t>
      </w:r>
      <w:r w:rsidRPr="00F15ADB">
        <w:rPr>
          <w:b/>
        </w:rPr>
        <w:t>vždy</w:t>
      </w:r>
      <w:r w:rsidRPr="00F15ADB">
        <w:t xml:space="preserve"> nabývat kladných h</w:t>
      </w:r>
      <w:r w:rsidR="00881996">
        <w:t>odnot a neměla by v čase klesat.</w:t>
      </w:r>
    </w:p>
    <w:p w14:paraId="08FC98AA" w14:textId="77777777" w:rsidR="00D26773" w:rsidRPr="00F15ADB" w:rsidRDefault="00D26773" w:rsidP="00A619C9">
      <w:pPr>
        <w:pStyle w:val="Kaskda0"/>
        <w:numPr>
          <w:ilvl w:val="0"/>
          <w:numId w:val="20"/>
        </w:numPr>
        <w:spacing w:before="120"/>
      </w:pPr>
      <w:r w:rsidRPr="00F15ADB">
        <w:rPr>
          <w:b/>
        </w:rPr>
        <w:t>Rozdíl provozního přebytku a splátek jistin</w:t>
      </w:r>
      <w:r w:rsidRPr="00F15ADB">
        <w:t xml:space="preserve"> – rozdíl provozního salda a splátek krátkodobých i dlouhodobých úvěrů. Také výše tohoto ukazatele by měla být </w:t>
      </w:r>
      <w:r w:rsidRPr="00F15ADB">
        <w:rPr>
          <w:b/>
        </w:rPr>
        <w:t xml:space="preserve">vždy </w:t>
      </w:r>
      <w:r w:rsidRPr="00F15ADB">
        <w:t>kladná</w:t>
      </w:r>
      <w:r w:rsidR="005134D6">
        <w:t>.</w:t>
      </w:r>
    </w:p>
    <w:p w14:paraId="5D796BFA" w14:textId="77777777" w:rsidR="00D26773" w:rsidRPr="00F15ADB" w:rsidRDefault="00D26773" w:rsidP="00A619C9">
      <w:pPr>
        <w:pStyle w:val="Kaskda0"/>
        <w:numPr>
          <w:ilvl w:val="0"/>
          <w:numId w:val="20"/>
        </w:numPr>
        <w:spacing w:before="120"/>
      </w:pPr>
      <w:r w:rsidRPr="00F15ADB">
        <w:rPr>
          <w:b/>
        </w:rPr>
        <w:t>Saldo bez financování</w:t>
      </w:r>
      <w:r w:rsidRPr="00F15ADB">
        <w:t xml:space="preserve"> – rozdíl celkových příjmů a výdajů</w:t>
      </w:r>
      <w:r w:rsidR="005134D6">
        <w:t>.</w:t>
      </w:r>
    </w:p>
    <w:p w14:paraId="163034D5" w14:textId="77777777" w:rsidR="00D26773" w:rsidRPr="00F15ADB" w:rsidRDefault="00D26773" w:rsidP="00A619C9">
      <w:pPr>
        <w:pStyle w:val="Kaskda0"/>
        <w:numPr>
          <w:ilvl w:val="0"/>
          <w:numId w:val="20"/>
        </w:numPr>
        <w:spacing w:before="120"/>
      </w:pPr>
      <w:r w:rsidRPr="00F15ADB">
        <w:rPr>
          <w:b/>
        </w:rPr>
        <w:t xml:space="preserve">Bilance hospodaření </w:t>
      </w:r>
      <w:r w:rsidRPr="00F15ADB">
        <w:t>(saldo rozpočtu)</w:t>
      </w:r>
      <w:r w:rsidRPr="00F15ADB">
        <w:rPr>
          <w:b/>
        </w:rPr>
        <w:t xml:space="preserve"> </w:t>
      </w:r>
      <w:r w:rsidRPr="00F15ADB">
        <w:t>– celkové příjmy a přijaté úvěry minus celkové výdaje a uhrazené splátky úvěrů</w:t>
      </w:r>
      <w:r w:rsidR="005134D6">
        <w:t>.</w:t>
      </w:r>
    </w:p>
    <w:p w14:paraId="72B14BB1" w14:textId="17409FD8" w:rsidR="00776B1A" w:rsidRPr="00412E80" w:rsidRDefault="00776B1A" w:rsidP="00A619C9">
      <w:pPr>
        <w:pStyle w:val="Kaskda0"/>
        <w:numPr>
          <w:ilvl w:val="0"/>
          <w:numId w:val="20"/>
        </w:numPr>
        <w:spacing w:before="120"/>
      </w:pPr>
      <w:r w:rsidRPr="00412E80">
        <w:rPr>
          <w:b/>
        </w:rPr>
        <w:t xml:space="preserve">Ukazatel provozních úspor </w:t>
      </w:r>
      <w:proofErr w:type="gramStart"/>
      <w:r w:rsidRPr="00412E80">
        <w:t>-  vyjadřuje</w:t>
      </w:r>
      <w:proofErr w:type="gramEnd"/>
      <w:r w:rsidRPr="00412E80">
        <w:t xml:space="preserve"> využitelnost provozních prostředků, tj. jaká část provozních prostředků může být využita na krytí investičních záměrů municipality. Hodnota ukazatele by neměla klesnout pod 10 %, naopak za optimální je považována hodnotu v rozmezí od </w:t>
      </w:r>
      <w:proofErr w:type="gramStart"/>
      <w:r w:rsidRPr="00412E80">
        <w:t>25 - 45</w:t>
      </w:r>
      <w:proofErr w:type="gramEnd"/>
      <w:r w:rsidRPr="00412E80">
        <w:t xml:space="preserve"> %.</w:t>
      </w:r>
    </w:p>
    <w:p w14:paraId="52678F24" w14:textId="77777777" w:rsidR="00D26773" w:rsidRPr="00F15ADB" w:rsidRDefault="00D26773" w:rsidP="00A619C9">
      <w:pPr>
        <w:pStyle w:val="Kaskda0"/>
        <w:numPr>
          <w:ilvl w:val="0"/>
          <w:numId w:val="20"/>
        </w:numPr>
        <w:spacing w:before="120"/>
      </w:pPr>
      <w:r w:rsidRPr="00F15ADB">
        <w:rPr>
          <w:b/>
        </w:rPr>
        <w:t xml:space="preserve">Saldo kapitálového rozpočtu – </w:t>
      </w:r>
      <w:r w:rsidRPr="00F15ADB">
        <w:t>rozdíl investičních příjmů a kapitálových výdajů</w:t>
      </w:r>
      <w:r w:rsidR="005134D6">
        <w:t>.</w:t>
      </w:r>
    </w:p>
    <w:p w14:paraId="69EB4805" w14:textId="77777777" w:rsidR="00D26773" w:rsidRPr="00F15ADB" w:rsidRDefault="00D26773" w:rsidP="00A619C9">
      <w:pPr>
        <w:pStyle w:val="Kaskda0"/>
        <w:numPr>
          <w:ilvl w:val="0"/>
          <w:numId w:val="20"/>
        </w:numPr>
        <w:spacing w:before="120"/>
      </w:pPr>
      <w:r w:rsidRPr="00F15ADB">
        <w:rPr>
          <w:b/>
        </w:rPr>
        <w:t>Dluhová základna</w:t>
      </w:r>
      <w:r w:rsidRPr="00F15ADB">
        <w:t xml:space="preserve"> – celkové příjmy po konsolidaci</w:t>
      </w:r>
      <w:r w:rsidR="005134D6">
        <w:t>.</w:t>
      </w:r>
    </w:p>
    <w:p w14:paraId="0236CFE5" w14:textId="77777777" w:rsidR="00D26773" w:rsidRPr="00F15ADB" w:rsidRDefault="00D26773" w:rsidP="00A619C9">
      <w:pPr>
        <w:pStyle w:val="Kaskda0"/>
        <w:numPr>
          <w:ilvl w:val="0"/>
          <w:numId w:val="20"/>
        </w:numPr>
        <w:spacing w:before="120"/>
      </w:pPr>
      <w:r w:rsidRPr="00F15ADB">
        <w:rPr>
          <w:b/>
        </w:rPr>
        <w:t>Dluhová služba</w:t>
      </w:r>
      <w:r w:rsidRPr="00F15ADB">
        <w:t xml:space="preserve"> – součet splátek úroků a splátek jistin</w:t>
      </w:r>
      <w:r w:rsidR="003432C8">
        <w:t>.</w:t>
      </w:r>
    </w:p>
    <w:p w14:paraId="0BD24322" w14:textId="77777777" w:rsidR="00C97377" w:rsidRPr="00C97377" w:rsidRDefault="00C97377" w:rsidP="00A619C9">
      <w:pPr>
        <w:pStyle w:val="Kaskda0"/>
        <w:numPr>
          <w:ilvl w:val="0"/>
          <w:numId w:val="20"/>
        </w:numPr>
        <w:spacing w:before="120"/>
      </w:pPr>
      <w:r w:rsidRPr="0088212C">
        <w:rPr>
          <w:b/>
        </w:rPr>
        <w:t>Celková dluhová služba (dluh)</w:t>
      </w:r>
      <w:r w:rsidRPr="00C97377">
        <w:t xml:space="preserve"> - celková výše splátek jistin, dluhopisů apod. bez úroků.</w:t>
      </w:r>
    </w:p>
    <w:p w14:paraId="1C663903" w14:textId="77777777" w:rsidR="00D26773" w:rsidRPr="00C24C41" w:rsidRDefault="00D26773" w:rsidP="00A619C9">
      <w:pPr>
        <w:pStyle w:val="Kaskda0"/>
        <w:numPr>
          <w:ilvl w:val="0"/>
          <w:numId w:val="20"/>
        </w:numPr>
        <w:spacing w:before="120"/>
      </w:pPr>
      <w:r w:rsidRPr="00F15ADB">
        <w:rPr>
          <w:b/>
        </w:rPr>
        <w:t>Ukazatel dluhové služby</w:t>
      </w:r>
      <w:r w:rsidRPr="00F15ADB">
        <w:t xml:space="preserve"> vyjadřuje procentuální poměr </w:t>
      </w:r>
      <w:r w:rsidRPr="00F15ADB">
        <w:rPr>
          <w:b/>
        </w:rPr>
        <w:t>dluhové služby</w:t>
      </w:r>
      <w:r w:rsidRPr="00F15ADB">
        <w:t xml:space="preserve"> a </w:t>
      </w:r>
      <w:r w:rsidRPr="00F15ADB">
        <w:rPr>
          <w:b/>
        </w:rPr>
        <w:t>dluhové základny</w:t>
      </w:r>
      <w:r w:rsidRPr="00F15ADB">
        <w:t>. Neměl by pře</w:t>
      </w:r>
      <w:r>
        <w:t>sáhnout h</w:t>
      </w:r>
      <w:r w:rsidRPr="00C24C41">
        <w:t>odnotu 25 %.</w:t>
      </w:r>
    </w:p>
    <w:p w14:paraId="3CFBAF03" w14:textId="77777777" w:rsidR="00776B1A" w:rsidRPr="00776B1A" w:rsidRDefault="00776B1A" w:rsidP="00A619C9">
      <w:pPr>
        <w:pStyle w:val="Kaskda0"/>
        <w:numPr>
          <w:ilvl w:val="0"/>
          <w:numId w:val="20"/>
        </w:numPr>
        <w:spacing w:before="120"/>
        <w:ind w:left="714" w:hanging="357"/>
        <w:jc w:val="left"/>
      </w:pPr>
      <w:r w:rsidRPr="00776B1A">
        <w:rPr>
          <w:b/>
        </w:rPr>
        <w:t>Fiskální pravidlo</w:t>
      </w:r>
      <w:r w:rsidRPr="00776B1A">
        <w:t xml:space="preserve"> – ÚSC musí hospodařit tak, aby výše jeho dluhu nepřesáhla 60 % průměru jeho příjmů za poslední 4 rozpočtové roky.</w:t>
      </w:r>
    </w:p>
    <w:p w14:paraId="2EC4F54A" w14:textId="468BD4AD" w:rsidR="00D26773" w:rsidRPr="00F15ADB" w:rsidRDefault="00D26773" w:rsidP="00A619C9">
      <w:pPr>
        <w:pStyle w:val="Kaskda0"/>
        <w:numPr>
          <w:ilvl w:val="0"/>
          <w:numId w:val="20"/>
        </w:numPr>
        <w:spacing w:before="120"/>
      </w:pPr>
      <w:r w:rsidRPr="00F15ADB">
        <w:rPr>
          <w:b/>
        </w:rPr>
        <w:t xml:space="preserve">Podíl cizích zdrojů k celkovým </w:t>
      </w:r>
      <w:proofErr w:type="gramStart"/>
      <w:r w:rsidRPr="00F15ADB">
        <w:rPr>
          <w:b/>
        </w:rPr>
        <w:t>aktivům</w:t>
      </w:r>
      <w:r w:rsidRPr="00F15ADB">
        <w:t xml:space="preserve"> - </w:t>
      </w:r>
      <w:r w:rsidR="00A10397">
        <w:t>u</w:t>
      </w:r>
      <w:r w:rsidRPr="00F15ADB">
        <w:t>kazatel</w:t>
      </w:r>
      <w:proofErr w:type="gramEnd"/>
      <w:r w:rsidRPr="00F15ADB">
        <w:t xml:space="preserve"> vyjadřuje poměr zadlužení k celkovému majetku ÚSC. Za rizikovou hodnotu je považován ukazatel vyšší než 25 %.</w:t>
      </w:r>
    </w:p>
    <w:p w14:paraId="4BE12928" w14:textId="31A297F1" w:rsidR="00385881" w:rsidRPr="00776B1A" w:rsidRDefault="00D26773" w:rsidP="00DD796B">
      <w:pPr>
        <w:pStyle w:val="Kaskda0"/>
        <w:numPr>
          <w:ilvl w:val="0"/>
          <w:numId w:val="20"/>
        </w:numPr>
        <w:spacing w:before="120"/>
      </w:pPr>
      <w:r w:rsidRPr="00385881">
        <w:rPr>
          <w:b/>
        </w:rPr>
        <w:t xml:space="preserve">Celková </w:t>
      </w:r>
      <w:proofErr w:type="gramStart"/>
      <w:r w:rsidRPr="00385881">
        <w:rPr>
          <w:b/>
        </w:rPr>
        <w:t xml:space="preserve">likvidita </w:t>
      </w:r>
      <w:r w:rsidRPr="00F15ADB">
        <w:t xml:space="preserve">- </w:t>
      </w:r>
      <w:r w:rsidR="00385881" w:rsidRPr="00385881">
        <w:t>vyjadřuje</w:t>
      </w:r>
      <w:proofErr w:type="gramEnd"/>
      <w:r w:rsidR="00385881" w:rsidRPr="00385881">
        <w:t xml:space="preserve"> poměr krátkodobých závazků obce k prostředkům na bankovních účtech a hotovost</w:t>
      </w:r>
      <w:r w:rsidR="00385881">
        <w:t xml:space="preserve">i, tj. </w:t>
      </w:r>
      <w:r w:rsidR="00385881" w:rsidRPr="00385881">
        <w:t>schopnost obce krýt své závazky. Za rizikovou se považuje hodnota menší než 1.</w:t>
      </w:r>
    </w:p>
    <w:p w14:paraId="36A9C806" w14:textId="7F4C523E" w:rsidR="000C661C" w:rsidRPr="00776B1A" w:rsidRDefault="000C661C" w:rsidP="00A619C9">
      <w:pPr>
        <w:pStyle w:val="Kaskda0"/>
        <w:numPr>
          <w:ilvl w:val="0"/>
          <w:numId w:val="20"/>
        </w:numPr>
        <w:spacing w:before="120"/>
      </w:pPr>
      <w:r w:rsidRPr="00776B1A">
        <w:rPr>
          <w:b/>
        </w:rPr>
        <w:t>Cash-</w:t>
      </w:r>
      <w:proofErr w:type="spellStart"/>
      <w:proofErr w:type="gramStart"/>
      <w:r w:rsidRPr="00776B1A">
        <w:rPr>
          <w:b/>
        </w:rPr>
        <w:t>flow</w:t>
      </w:r>
      <w:proofErr w:type="spellEnd"/>
      <w:r w:rsidRPr="00776B1A">
        <w:t xml:space="preserve"> - </w:t>
      </w:r>
      <w:r w:rsidR="00DB0D1B" w:rsidRPr="00776B1A">
        <w:t>vyjadřuje</w:t>
      </w:r>
      <w:proofErr w:type="gramEnd"/>
      <w:r w:rsidR="00DB0D1B" w:rsidRPr="00776B1A">
        <w:t xml:space="preserve"> pohyb peněz, který zobrazuje rozdíl mezi příjmy a výdaji za určité období. </w:t>
      </w:r>
    </w:p>
    <w:p w14:paraId="2A6B4CAC" w14:textId="5D28C261" w:rsidR="000C661C" w:rsidRPr="00776B1A" w:rsidRDefault="000C661C" w:rsidP="00A619C9">
      <w:pPr>
        <w:pStyle w:val="Kaskda0"/>
        <w:numPr>
          <w:ilvl w:val="0"/>
          <w:numId w:val="20"/>
        </w:numPr>
        <w:spacing w:before="120"/>
      </w:pPr>
      <w:r w:rsidRPr="00776B1A">
        <w:rPr>
          <w:b/>
        </w:rPr>
        <w:t xml:space="preserve">Řízení </w:t>
      </w:r>
      <w:proofErr w:type="gramStart"/>
      <w:r w:rsidRPr="00776B1A">
        <w:rPr>
          <w:b/>
        </w:rPr>
        <w:t xml:space="preserve">likvidity </w:t>
      </w:r>
      <w:r w:rsidRPr="00776B1A">
        <w:t xml:space="preserve">- </w:t>
      </w:r>
      <w:r w:rsidR="00DB0D1B" w:rsidRPr="00776B1A">
        <w:t>jde</w:t>
      </w:r>
      <w:proofErr w:type="gramEnd"/>
      <w:r w:rsidR="00DB0D1B" w:rsidRPr="00776B1A">
        <w:t xml:space="preserve"> o schopnost dostát svým závazkům a nasměrovat </w:t>
      </w:r>
      <w:r w:rsidR="00477692">
        <w:t>příjmy</w:t>
      </w:r>
      <w:r w:rsidR="00DB0D1B" w:rsidRPr="00776B1A">
        <w:t xml:space="preserve"> na další rozvoj</w:t>
      </w:r>
      <w:r w:rsidR="001632A0" w:rsidRPr="00776B1A">
        <w:t>.</w:t>
      </w:r>
    </w:p>
    <w:p w14:paraId="6E10FC90" w14:textId="77777777" w:rsidR="000C661C" w:rsidRDefault="000C661C" w:rsidP="00A619C9">
      <w:pPr>
        <w:pStyle w:val="Kaskda0"/>
        <w:numPr>
          <w:ilvl w:val="0"/>
          <w:numId w:val="20"/>
        </w:numPr>
        <w:spacing w:before="120"/>
      </w:pPr>
      <w:r w:rsidRPr="00F15ADB">
        <w:rPr>
          <w:b/>
        </w:rPr>
        <w:lastRenderedPageBreak/>
        <w:t xml:space="preserve">Platební schopnost I. </w:t>
      </w:r>
      <w:proofErr w:type="gramStart"/>
      <w:r w:rsidRPr="00F15ADB">
        <w:rPr>
          <w:b/>
        </w:rPr>
        <w:t>řádu</w:t>
      </w:r>
      <w:r w:rsidRPr="00F15ADB">
        <w:t xml:space="preserve"> - poměr</w:t>
      </w:r>
      <w:proofErr w:type="gramEnd"/>
      <w:r w:rsidRPr="00F15ADB">
        <w:t xml:space="preserve"> celkového dluhu k provoznímu přebytku vyjadřuje schopnost m</w:t>
      </w:r>
      <w:r>
        <w:t>unicipality</w:t>
      </w:r>
      <w:r w:rsidRPr="00F15ADB">
        <w:t xml:space="preserve"> splatit celkové závazky, pokud bude k jejich úhradě použito celé saldo provozního rozpočtu. Optimální hodnoty se pohybují pod hranicí 2, stabilní finanční zdraví ukazují ještě hodnoty do 6.</w:t>
      </w:r>
    </w:p>
    <w:p w14:paraId="424AF500" w14:textId="0F99062A" w:rsidR="00D26773" w:rsidRPr="00F15ADB" w:rsidRDefault="00D26773" w:rsidP="00A619C9">
      <w:pPr>
        <w:pStyle w:val="Kaskda0"/>
        <w:numPr>
          <w:ilvl w:val="0"/>
          <w:numId w:val="20"/>
        </w:numPr>
        <w:spacing w:before="120"/>
        <w:ind w:left="714" w:hanging="357"/>
        <w:jc w:val="left"/>
      </w:pPr>
      <w:r w:rsidRPr="000C661C">
        <w:rPr>
          <w:b/>
        </w:rPr>
        <w:t xml:space="preserve">Platební schopnost II. </w:t>
      </w:r>
      <w:proofErr w:type="gramStart"/>
      <w:r w:rsidRPr="000C661C">
        <w:rPr>
          <w:b/>
        </w:rPr>
        <w:t>řádu</w:t>
      </w:r>
      <w:r w:rsidRPr="00F15ADB">
        <w:t xml:space="preserve"> - poměr</w:t>
      </w:r>
      <w:proofErr w:type="gramEnd"/>
      <w:r w:rsidRPr="00F15ADB">
        <w:t xml:space="preserve"> ročních splátek dluhu k provoznímu přebytku. Výsledné hodnoty ukazují schopnost uhradit roční splátky dluhu z provozního přebytku. Pod 20</w:t>
      </w:r>
      <w:r w:rsidR="00881996">
        <w:t xml:space="preserve"> </w:t>
      </w:r>
      <w:r w:rsidRPr="00F15ADB">
        <w:t>%, jedná se o optimální stav, do hranice 4</w:t>
      </w:r>
      <w:r w:rsidR="00881996">
        <w:t xml:space="preserve">0 </w:t>
      </w:r>
      <w:r w:rsidRPr="00F15ADB">
        <w:t>% hodnoty provozního přebytku je stav uspokojivý.</w:t>
      </w:r>
    </w:p>
    <w:p w14:paraId="50A5DB70" w14:textId="77777777" w:rsidR="00D26773" w:rsidRPr="00FC6E67" w:rsidRDefault="00D26773" w:rsidP="00A619C9">
      <w:pPr>
        <w:pStyle w:val="Kaskda0"/>
        <w:numPr>
          <w:ilvl w:val="0"/>
          <w:numId w:val="20"/>
        </w:numPr>
        <w:spacing w:before="120"/>
        <w:ind w:left="714" w:hanging="357"/>
      </w:pPr>
      <w:r w:rsidRPr="00F15ADB">
        <w:rPr>
          <w:b/>
        </w:rPr>
        <w:t xml:space="preserve">Finanční </w:t>
      </w:r>
      <w:proofErr w:type="gramStart"/>
      <w:r w:rsidRPr="00F15ADB">
        <w:rPr>
          <w:b/>
        </w:rPr>
        <w:t xml:space="preserve">zadluženost </w:t>
      </w:r>
      <w:r w:rsidRPr="00F15ADB">
        <w:t>- poměr</w:t>
      </w:r>
      <w:proofErr w:type="gramEnd"/>
      <w:r w:rsidRPr="00F15ADB">
        <w:t xml:space="preserve"> ročních splátek dluhu k běžným příjmům</w:t>
      </w:r>
      <w:r w:rsidR="006E30BF">
        <w:t>,</w:t>
      </w:r>
      <w:r w:rsidRPr="00F15ADB">
        <w:t xml:space="preserve"> vyjadřuje podíl běžných příjmů, které je potřeba vyčlenit na roční splátku dluhu. Hodnoty do 7</w:t>
      </w:r>
      <w:r w:rsidR="00973A21">
        <w:t xml:space="preserve"> </w:t>
      </w:r>
      <w:r w:rsidRPr="00F15ADB">
        <w:t xml:space="preserve">% svědčí o dobrém finančním zdraví </w:t>
      </w:r>
      <w:r w:rsidRPr="00FC6E67">
        <w:t>municipality, hodnoty nad 18</w:t>
      </w:r>
      <w:r w:rsidR="00973A21" w:rsidRPr="00FC6E67">
        <w:t xml:space="preserve"> </w:t>
      </w:r>
      <w:r w:rsidRPr="00FC6E67">
        <w:t>% vyjadřují zvýšené riziko.</w:t>
      </w:r>
    </w:p>
    <w:p w14:paraId="2059B288" w14:textId="40BB0F63" w:rsidR="00FC6E67" w:rsidRPr="009663C3" w:rsidRDefault="00FC6E67" w:rsidP="00FC6E67">
      <w:pPr>
        <w:pStyle w:val="Kaskda0"/>
        <w:numPr>
          <w:ilvl w:val="0"/>
          <w:numId w:val="20"/>
        </w:numPr>
        <w:spacing w:before="120"/>
        <w:ind w:left="714" w:hanging="357"/>
        <w:rPr>
          <w:rFonts w:cs="Arial"/>
          <w:szCs w:val="21"/>
        </w:rPr>
      </w:pPr>
      <w:bookmarkStart w:id="5" w:name="_Hlk198547717"/>
      <w:proofErr w:type="spellStart"/>
      <w:r w:rsidRPr="009663C3">
        <w:rPr>
          <w:b/>
        </w:rPr>
        <w:t>Heatmapy</w:t>
      </w:r>
      <w:proofErr w:type="spellEnd"/>
      <w:r w:rsidRPr="009663C3">
        <w:rPr>
          <w:b/>
        </w:rPr>
        <w:t xml:space="preserve"> </w:t>
      </w:r>
      <w:proofErr w:type="gramStart"/>
      <w:r w:rsidRPr="009663C3">
        <w:rPr>
          <w:b/>
        </w:rPr>
        <w:t xml:space="preserve">tabulek - </w:t>
      </w:r>
      <w:proofErr w:type="spellStart"/>
      <w:r w:rsidRPr="009663C3">
        <w:rPr>
          <w:b/>
        </w:rPr>
        <w:t>h</w:t>
      </w:r>
      <w:r w:rsidRPr="009663C3">
        <w:rPr>
          <w:rFonts w:eastAsia="Calibri" w:cs="Arial"/>
          <w:kern w:val="2"/>
          <w:szCs w:val="21"/>
          <w14:ligatures w14:val="standardContextual"/>
        </w:rPr>
        <w:t>eatmapa</w:t>
      </w:r>
      <w:proofErr w:type="spellEnd"/>
      <w:proofErr w:type="gramEnd"/>
      <w:r w:rsidRPr="009663C3">
        <w:rPr>
          <w:rFonts w:eastAsia="Calibri" w:cs="Arial"/>
          <w:kern w:val="2"/>
          <w:szCs w:val="21"/>
          <w14:ligatures w14:val="standardContextual"/>
        </w:rPr>
        <w:t xml:space="preserve"> (tepelná mapa) je metoda grafické prezentace dat</w:t>
      </w:r>
      <w:r w:rsidRPr="009663C3">
        <w:rPr>
          <w:rFonts w:eastAsia="Calibri" w:cs="Arial"/>
          <w:b/>
          <w:bCs/>
          <w:kern w:val="2"/>
          <w:szCs w:val="21"/>
          <w14:ligatures w14:val="standardContextual"/>
        </w:rPr>
        <w:t xml:space="preserve">, </w:t>
      </w:r>
      <w:r w:rsidRPr="009663C3">
        <w:rPr>
          <w:rFonts w:eastAsia="Calibri" w:cs="Arial"/>
          <w:kern w:val="2"/>
          <w:szCs w:val="21"/>
          <w14:ligatures w14:val="standardContextual"/>
        </w:rPr>
        <w:t xml:space="preserve">kde jsou hodnoty reprezentovány na škále více barev. Zobrazení tepelné mapy vypadá jako tabulka, která při analýze vyjadřuje meziroční růst (zelená) či pokles (červená) daného ukazatele. </w:t>
      </w:r>
      <w:r w:rsidR="00EF6DD6" w:rsidRPr="00EF6DD6">
        <w:rPr>
          <w:rFonts w:eastAsia="Calibri" w:cs="Arial"/>
          <w:kern w:val="2"/>
          <w:szCs w:val="21"/>
          <w14:ligatures w14:val="standardContextual"/>
        </w:rPr>
        <w:t>Žlutá barva pak reprezentuje zanedbatelnou meziroční změnu</w:t>
      </w:r>
      <w:r w:rsidR="00EF6DD6">
        <w:rPr>
          <w:rFonts w:eastAsia="Calibri" w:cs="Arial"/>
          <w:kern w:val="2"/>
          <w:szCs w:val="21"/>
          <w14:ligatures w14:val="standardContextual"/>
        </w:rPr>
        <w:t xml:space="preserve"> nebo neměnný stav</w:t>
      </w:r>
      <w:r w:rsidRPr="009663C3">
        <w:rPr>
          <w:rFonts w:eastAsia="Calibri" w:cs="Arial"/>
          <w:kern w:val="2"/>
          <w:szCs w:val="21"/>
          <w14:ligatures w14:val="standardContextual"/>
        </w:rPr>
        <w:t>. To znamená, že na tepelné mapě se hodnota buňky zobrazuje v jiném barevném vzoru</w:t>
      </w:r>
      <w:r w:rsidR="00EF6DD6">
        <w:rPr>
          <w:rFonts w:eastAsia="Calibri" w:cs="Arial"/>
          <w:kern w:val="2"/>
          <w:szCs w:val="21"/>
          <w14:ligatures w14:val="standardContextual"/>
        </w:rPr>
        <w:t xml:space="preserve"> pro snadnou orientaci</w:t>
      </w:r>
      <w:r w:rsidRPr="009663C3">
        <w:rPr>
          <w:rFonts w:eastAsia="Calibri" w:cs="Arial"/>
          <w:kern w:val="2"/>
          <w:szCs w:val="21"/>
          <w14:ligatures w14:val="standardContextual"/>
        </w:rPr>
        <w:t>.</w:t>
      </w:r>
      <w:r w:rsidRPr="009663C3">
        <w:rPr>
          <w:rFonts w:cs="Arial"/>
          <w:szCs w:val="21"/>
        </w:rPr>
        <w:t xml:space="preserve"> </w:t>
      </w:r>
    </w:p>
    <w:bookmarkEnd w:id="5"/>
    <w:p w14:paraId="2D32AFD2" w14:textId="77777777" w:rsidR="009663C3" w:rsidRPr="009663C3" w:rsidRDefault="009663C3" w:rsidP="009663C3">
      <w:pPr>
        <w:numPr>
          <w:ilvl w:val="0"/>
          <w:numId w:val="20"/>
        </w:numPr>
        <w:spacing w:after="0"/>
        <w:ind w:left="714" w:hanging="357"/>
        <w:rPr>
          <w:rFonts w:cs="Arial"/>
          <w:szCs w:val="21"/>
        </w:rPr>
      </w:pPr>
      <w:r w:rsidRPr="009663C3">
        <w:rPr>
          <w:rFonts w:cs="Arial"/>
          <w:b/>
          <w:szCs w:val="21"/>
        </w:rPr>
        <w:t xml:space="preserve">Infografika </w:t>
      </w:r>
      <w:r w:rsidRPr="009663C3">
        <w:rPr>
          <w:rFonts w:cs="Arial"/>
          <w:szCs w:val="21"/>
        </w:rPr>
        <w:t>– grafickou formou přehledně zobrazuje analyzované veličiny. Nejprve přibližuje formou grafů celkové absolutní a relativní hodnoty (sloupcové grafy) včetně pětileté statistiky (prstencový graf). Následují celkové informace o veličině (trend vývoje, průměrná hodnota za analyzované období, minimální a maximální hodnota, absolutní a relativní změna od počátku analyzovaného období). U vybraných ukazatelů další zobrazovaná oblast přibližuje nejvýznamnější detailní položky zkoumaného celku. Poslední informační skupinou jsou hodnoty označené „XX TOP ▲“ nebo „XX TOP ▼“, které informují o nejvyšším meziročním nárůstu nebo nejvyšším meziročním poklesu hodnot XX.</w:t>
      </w:r>
    </w:p>
    <w:p w14:paraId="5640E75B" w14:textId="77777777" w:rsidR="00FC6E67" w:rsidRDefault="00FC6E67" w:rsidP="00FC6E67">
      <w:pPr>
        <w:pStyle w:val="Kaskda0"/>
        <w:numPr>
          <w:ilvl w:val="0"/>
          <w:numId w:val="20"/>
        </w:numPr>
        <w:spacing w:before="120"/>
        <w:ind w:left="714" w:hanging="357"/>
      </w:pPr>
      <w:r w:rsidRPr="009663C3">
        <w:rPr>
          <w:b/>
        </w:rPr>
        <w:t xml:space="preserve">Miniaturní </w:t>
      </w:r>
      <w:proofErr w:type="gramStart"/>
      <w:r w:rsidRPr="009663C3">
        <w:rPr>
          <w:b/>
        </w:rPr>
        <w:t>grafy</w:t>
      </w:r>
      <w:r w:rsidRPr="009663C3">
        <w:t xml:space="preserve"> - znázorňují</w:t>
      </w:r>
      <w:proofErr w:type="gramEnd"/>
      <w:r w:rsidRPr="009663C3">
        <w:t xml:space="preserve"> relativní pohyb v jednotlivých letech minulého období. Neodpovídají</w:t>
      </w:r>
      <w:r w:rsidRPr="00DB64C2">
        <w:t xml:space="preserve"> absolutním hodnotám, tudíž je nelze brát jako ukazatel podílu na celkové </w:t>
      </w:r>
      <w:r w:rsidRPr="00C379AC">
        <w:t xml:space="preserve">výši zobrazovaných hodnot. Osy jsou nastavené na pevné rozpětí </w:t>
      </w:r>
      <w:proofErr w:type="gramStart"/>
      <w:r w:rsidRPr="00C379AC">
        <w:t>0 - 100</w:t>
      </w:r>
      <w:proofErr w:type="gramEnd"/>
      <w:r w:rsidRPr="00C379AC">
        <w:t xml:space="preserve"> % a jednotlivé roky jsou převedeny na</w:t>
      </w:r>
      <w:r w:rsidRPr="00DB64C2">
        <w:t xml:space="preserve"> procenta, kde nejvyšší částka zobrazuje 100 %.</w:t>
      </w:r>
    </w:p>
    <w:p w14:paraId="063A69D0" w14:textId="57B6A454" w:rsidR="00D26773" w:rsidRPr="00203A56" w:rsidRDefault="00D26773">
      <w:pPr>
        <w:pStyle w:val="Kaskda0"/>
        <w:numPr>
          <w:ilvl w:val="0"/>
          <w:numId w:val="20"/>
        </w:numPr>
        <w:spacing w:after="200"/>
        <w:jc w:val="left"/>
        <w:rPr>
          <w:rFonts w:eastAsiaTheme="majorEastAsia" w:cstheme="majorBidi"/>
          <w:b/>
          <w:bCs/>
          <w:color w:val="2E3192"/>
          <w:sz w:val="28"/>
          <w:szCs w:val="28"/>
          <w:highlight w:val="green"/>
        </w:rPr>
      </w:pPr>
      <w:r w:rsidRPr="00203A56">
        <w:rPr>
          <w:highlight w:val="green"/>
        </w:rPr>
        <w:br w:type="page"/>
      </w:r>
    </w:p>
    <w:p w14:paraId="09F9FB6D" w14:textId="77777777" w:rsidR="00D26773" w:rsidRPr="00F15ADB" w:rsidRDefault="00D26773" w:rsidP="00D26773">
      <w:pPr>
        <w:pStyle w:val="Nadpis1"/>
        <w:pageBreakBefore w:val="0"/>
        <w:numPr>
          <w:ilvl w:val="0"/>
          <w:numId w:val="0"/>
        </w:numPr>
        <w:ind w:left="431" w:hanging="431"/>
      </w:pPr>
      <w:bookmarkStart w:id="6" w:name="_Toc213758982"/>
      <w:r w:rsidRPr="00F15ADB">
        <w:lastRenderedPageBreak/>
        <w:t>Použité zkratky</w:t>
      </w:r>
      <w:bookmarkEnd w:id="6"/>
    </w:p>
    <w:p w14:paraId="57700408" w14:textId="77777777" w:rsidR="00E02607" w:rsidRDefault="00E02607" w:rsidP="00503AEF">
      <w:pPr>
        <w:pStyle w:val="Kaskda0"/>
        <w:numPr>
          <w:ilvl w:val="0"/>
          <w:numId w:val="0"/>
        </w:numPr>
        <w:ind w:left="644"/>
        <w:rPr>
          <w:highlight w:val="green"/>
        </w:rPr>
      </w:pPr>
    </w:p>
    <w:p w14:paraId="7F57993E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BDS – bezpečné navýšení dluhu</w:t>
      </w:r>
    </w:p>
    <w:p w14:paraId="5E9EE6C4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BP – běžné příjmy</w:t>
      </w:r>
    </w:p>
    <w:p w14:paraId="1107E82A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BÚ – stav peněžních prostředků na bankovních účtech</w:t>
      </w:r>
    </w:p>
    <w:p w14:paraId="77624981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BV – běžné výdaje</w:t>
      </w:r>
    </w:p>
    <w:p w14:paraId="10AAC730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CDS – celková dluhová služba</w:t>
      </w:r>
    </w:p>
    <w:p w14:paraId="02A83084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CP – celkové příjmy</w:t>
      </w:r>
    </w:p>
    <w:p w14:paraId="0959F4A6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CV – celkové výdaje</w:t>
      </w:r>
    </w:p>
    <w:p w14:paraId="5B0B3CBA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DP – daňové příjmy</w:t>
      </w:r>
    </w:p>
    <w:p w14:paraId="592593C9" w14:textId="77777777" w:rsidR="00E02607" w:rsidRPr="00FC6E67" w:rsidRDefault="00E02607">
      <w:pPr>
        <w:pStyle w:val="Kaskda0"/>
        <w:numPr>
          <w:ilvl w:val="0"/>
          <w:numId w:val="19"/>
        </w:numPr>
      </w:pPr>
      <w:r w:rsidRPr="00FC6E67">
        <w:t>DPFO – daň z příjmů fyzických osob</w:t>
      </w:r>
    </w:p>
    <w:p w14:paraId="5EBE3B9D" w14:textId="77777777" w:rsidR="00FC6E67" w:rsidRPr="00FC6E67" w:rsidRDefault="00FC6E67" w:rsidP="00FC6E67">
      <w:pPr>
        <w:pStyle w:val="Kaskda0"/>
        <w:numPr>
          <w:ilvl w:val="0"/>
          <w:numId w:val="19"/>
        </w:numPr>
      </w:pPr>
      <w:r w:rsidRPr="00FC6E67">
        <w:t xml:space="preserve">DPFO </w:t>
      </w:r>
      <w:r w:rsidRPr="00FC6E67">
        <w:rPr>
          <w:vertAlign w:val="subscript"/>
        </w:rPr>
        <w:t>ZČ</w:t>
      </w:r>
      <w:r w:rsidRPr="00FC6E67">
        <w:t xml:space="preserve"> – daň z příjmů fyzických osob ze závislé činnosti (placená plátci)</w:t>
      </w:r>
    </w:p>
    <w:p w14:paraId="4301E00F" w14:textId="77777777" w:rsidR="00FC6E67" w:rsidRPr="00FC6E67" w:rsidRDefault="00FC6E67" w:rsidP="00FC6E67">
      <w:pPr>
        <w:pStyle w:val="Kaskda0"/>
        <w:numPr>
          <w:ilvl w:val="0"/>
          <w:numId w:val="19"/>
        </w:numPr>
      </w:pPr>
      <w:r w:rsidRPr="00FC6E67">
        <w:t xml:space="preserve">DPFO </w:t>
      </w:r>
      <w:r w:rsidRPr="00FC6E67">
        <w:rPr>
          <w:vertAlign w:val="subscript"/>
        </w:rPr>
        <w:t>OSVČ</w:t>
      </w:r>
      <w:r w:rsidRPr="00FC6E67">
        <w:t xml:space="preserve"> – daň z příjmů fyzických osob samostatně výdělečně činných) (placená poplatníky)</w:t>
      </w:r>
    </w:p>
    <w:p w14:paraId="39FD7A1D" w14:textId="77777777" w:rsidR="00FC6E67" w:rsidRPr="00FC6E67" w:rsidRDefault="00FC6E67" w:rsidP="00FC6E67">
      <w:pPr>
        <w:pStyle w:val="Kaskda0"/>
        <w:numPr>
          <w:ilvl w:val="0"/>
          <w:numId w:val="19"/>
        </w:numPr>
      </w:pPr>
      <w:r w:rsidRPr="00FC6E67">
        <w:t xml:space="preserve">DPFO </w:t>
      </w:r>
      <w:r w:rsidRPr="00FC6E67">
        <w:rPr>
          <w:vertAlign w:val="subscript"/>
        </w:rPr>
        <w:t>KV</w:t>
      </w:r>
      <w:r w:rsidRPr="00FC6E67">
        <w:t xml:space="preserve"> – daň z příjmů fyzických osob vybíraná srážkou (z kapitálových výnosů)</w:t>
      </w:r>
    </w:p>
    <w:p w14:paraId="11A369FA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DPH – daň z přidané hodnoty</w:t>
      </w:r>
    </w:p>
    <w:p w14:paraId="45255B22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DPPO – daň z příjmů právnických osob</w:t>
      </w:r>
    </w:p>
    <w:p w14:paraId="452613D9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FP – fiskální pravidlo</w:t>
      </w:r>
    </w:p>
    <w:p w14:paraId="60D44645" w14:textId="77777777" w:rsidR="00E02607" w:rsidRPr="00E02607" w:rsidRDefault="00E02607">
      <w:pPr>
        <w:pStyle w:val="Kaskda0"/>
        <w:numPr>
          <w:ilvl w:val="0"/>
          <w:numId w:val="19"/>
        </w:numPr>
      </w:pPr>
      <w:proofErr w:type="spellStart"/>
      <w:r w:rsidRPr="00E02607">
        <w:t>InvTr</w:t>
      </w:r>
      <w:proofErr w:type="spellEnd"/>
      <w:r w:rsidRPr="00E02607">
        <w:t xml:space="preserve"> – investiční transfery</w:t>
      </w:r>
    </w:p>
    <w:p w14:paraId="4A98A81F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IPÚ – ukazatel provozních úspor</w:t>
      </w:r>
    </w:p>
    <w:p w14:paraId="5D768C0B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KV – kapitálové výnosy</w:t>
      </w:r>
    </w:p>
    <w:p w14:paraId="27E77995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MF – ministerstvo financí</w:t>
      </w:r>
    </w:p>
    <w:p w14:paraId="76301F12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NDP – nedaňové příjmy</w:t>
      </w:r>
    </w:p>
    <w:p w14:paraId="2F24DC7E" w14:textId="77777777" w:rsidR="00E02607" w:rsidRPr="00E02607" w:rsidRDefault="00E02607">
      <w:pPr>
        <w:pStyle w:val="Kaskda0"/>
        <w:numPr>
          <w:ilvl w:val="0"/>
          <w:numId w:val="19"/>
        </w:numPr>
      </w:pPr>
      <w:proofErr w:type="spellStart"/>
      <w:r w:rsidRPr="00E02607">
        <w:t>NeinvTr</w:t>
      </w:r>
      <w:proofErr w:type="spellEnd"/>
      <w:r w:rsidRPr="00E02607">
        <w:t xml:space="preserve"> – neinvestiční transfery</w:t>
      </w:r>
    </w:p>
    <w:p w14:paraId="342B976E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OSVČ (SČ) – osoby samostatně výdělečně činné</w:t>
      </w:r>
    </w:p>
    <w:p w14:paraId="075D1FA5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PO – příspěvková organizace</w:t>
      </w:r>
    </w:p>
    <w:p w14:paraId="1A93B7C3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PP – provozní přebytek</w:t>
      </w:r>
    </w:p>
    <w:p w14:paraId="2FFD7DDF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RAT – rating hospodaření</w:t>
      </w:r>
    </w:p>
    <w:p w14:paraId="2AD2992C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RS – schválený rozpočet</w:t>
      </w:r>
    </w:p>
    <w:p w14:paraId="6C4AF98F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RU – upravený rozpočet</w:t>
      </w:r>
    </w:p>
    <w:p w14:paraId="1354D538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RUD – rozpočtové určení daní</w:t>
      </w:r>
    </w:p>
    <w:p w14:paraId="388478F8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SR – státní rozpočet</w:t>
      </w:r>
    </w:p>
    <w:p w14:paraId="4D21A1B4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SVR – střednědobý výhled rozpočtu</w:t>
      </w:r>
    </w:p>
    <w:p w14:paraId="1E45478A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UC – účetní skutečnost</w:t>
      </w:r>
    </w:p>
    <w:p w14:paraId="62D6481B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UDS – ukazatel dluhové služby</w:t>
      </w:r>
    </w:p>
    <w:p w14:paraId="51991EE1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ÚSC – územní samosprávný celek</w:t>
      </w:r>
    </w:p>
    <w:p w14:paraId="7A428D3A" w14:textId="77777777" w:rsidR="00E02607" w:rsidRPr="00E02607" w:rsidRDefault="00E02607">
      <w:pPr>
        <w:pStyle w:val="Kaskda0"/>
        <w:numPr>
          <w:ilvl w:val="0"/>
          <w:numId w:val="19"/>
        </w:numPr>
      </w:pPr>
      <w:r w:rsidRPr="00E02607">
        <w:t>ZČ – závislá činnost</w:t>
      </w:r>
    </w:p>
    <w:p w14:paraId="20FECC42" w14:textId="77777777" w:rsidR="00503AEF" w:rsidRPr="00F15ADB" w:rsidRDefault="00503AEF" w:rsidP="00503AEF">
      <w:pPr>
        <w:pStyle w:val="Kaskda0"/>
        <w:numPr>
          <w:ilvl w:val="0"/>
          <w:numId w:val="0"/>
        </w:numPr>
        <w:ind w:left="644"/>
      </w:pPr>
    </w:p>
    <w:p w14:paraId="03FB4961" w14:textId="77777777" w:rsidR="006F43CB" w:rsidRDefault="006F43CB" w:rsidP="006F43CB">
      <w:pPr>
        <w:pStyle w:val="Kaskda0"/>
        <w:numPr>
          <w:ilvl w:val="0"/>
          <w:numId w:val="0"/>
        </w:numPr>
        <w:ind w:left="641" w:hanging="357"/>
      </w:pPr>
    </w:p>
    <w:p w14:paraId="4FED7882" w14:textId="77777777" w:rsidR="00503AEF" w:rsidRPr="00503AEF" w:rsidRDefault="00503AEF" w:rsidP="00503AEF">
      <w:pPr>
        <w:pStyle w:val="Kaskda0"/>
        <w:numPr>
          <w:ilvl w:val="0"/>
          <w:numId w:val="0"/>
        </w:numPr>
        <w:ind w:left="641" w:hanging="357"/>
        <w:rPr>
          <w:highlight w:val="cyan"/>
        </w:rPr>
      </w:pPr>
    </w:p>
    <w:p w14:paraId="65A317B0" w14:textId="77777777" w:rsidR="008F0875" w:rsidRPr="000C661C" w:rsidRDefault="008F0875" w:rsidP="008F0875">
      <w:pPr>
        <w:pStyle w:val="Kaskda0"/>
        <w:numPr>
          <w:ilvl w:val="0"/>
          <w:numId w:val="0"/>
        </w:numPr>
        <w:ind w:left="641" w:hanging="357"/>
        <w:rPr>
          <w:highlight w:val="green"/>
        </w:rPr>
      </w:pPr>
    </w:p>
    <w:p w14:paraId="2AED67B5" w14:textId="77777777" w:rsidR="008F0875" w:rsidRDefault="008F0875" w:rsidP="008F0875">
      <w:pPr>
        <w:pStyle w:val="Kaskda0"/>
        <w:numPr>
          <w:ilvl w:val="0"/>
          <w:numId w:val="0"/>
        </w:numPr>
        <w:ind w:left="641" w:hanging="357"/>
        <w:rPr>
          <w:highlight w:val="green"/>
        </w:rPr>
      </w:pPr>
    </w:p>
    <w:p w14:paraId="782EBCE1" w14:textId="77777777" w:rsidR="008F0875" w:rsidRDefault="008F0875" w:rsidP="008F0875">
      <w:pPr>
        <w:pStyle w:val="Kaskda0"/>
        <w:numPr>
          <w:ilvl w:val="0"/>
          <w:numId w:val="0"/>
        </w:numPr>
        <w:ind w:left="641" w:hanging="357"/>
        <w:rPr>
          <w:highlight w:val="green"/>
        </w:rPr>
      </w:pPr>
    </w:p>
    <w:p w14:paraId="168539BE" w14:textId="77777777" w:rsidR="00066709" w:rsidRDefault="00066709" w:rsidP="00066709">
      <w:pPr>
        <w:pStyle w:val="Kaskda0"/>
        <w:numPr>
          <w:ilvl w:val="0"/>
          <w:numId w:val="0"/>
        </w:numPr>
        <w:ind w:left="641" w:hanging="357"/>
      </w:pPr>
      <w:r>
        <w:br w:type="page"/>
      </w:r>
    </w:p>
    <w:p w14:paraId="1004F189" w14:textId="77777777" w:rsidR="002C36D0" w:rsidRPr="009318B4" w:rsidRDefault="002C36D0" w:rsidP="002C36D0">
      <w:pPr>
        <w:pStyle w:val="Nadpis1"/>
        <w:numPr>
          <w:ilvl w:val="0"/>
          <w:numId w:val="0"/>
        </w:numPr>
        <w:ind w:left="431" w:hanging="431"/>
      </w:pPr>
      <w:bookmarkStart w:id="7" w:name="_Toc213758983"/>
      <w:r w:rsidRPr="009318B4">
        <w:lastRenderedPageBreak/>
        <w:t>Úvod</w:t>
      </w:r>
      <w:bookmarkEnd w:id="2"/>
      <w:bookmarkEnd w:id="3"/>
      <w:bookmarkEnd w:id="7"/>
    </w:p>
    <w:p w14:paraId="046E7AD7" w14:textId="23450BC5" w:rsidR="00680285" w:rsidRPr="00680285" w:rsidRDefault="00680285" w:rsidP="00680285">
      <w:r w:rsidRPr="00680285">
        <w:t xml:space="preserve">Jednou z povinností vyplývajících ze zákona č. 250/2000 Sb., o rozpočtových pravidlech územních rozpočtů je sestavení střednědobého výhledu rozpočtu. Sestavuje se na základě uzavřených smluvních vztahů a přijatých závazků zpravidla na dobu 2 až 5 let následujících po roce, na který se sestavuje rozpočet. Podle § 3 zmíněného zákona musí minimálně obsahovat základní údaje o příjmech a výdajích, o dlouhodobých závazcích a pohledávkách, o finančních zdrojích a potřebách dlouhodobě realizovaných záměrů. Zpracovaný SVR je sestaven ve větší </w:t>
      </w:r>
      <w:proofErr w:type="gramStart"/>
      <w:r w:rsidR="00E529A3">
        <w:t>podrobnosti</w:t>
      </w:r>
      <w:r w:rsidR="00477692">
        <w:t>,</w:t>
      </w:r>
      <w:proofErr w:type="gramEnd"/>
      <w:r w:rsidRPr="00680285">
        <w:t xml:space="preserve"> než</w:t>
      </w:r>
      <w:r w:rsidR="00E529A3">
        <w:t xml:space="preserve"> jak</w:t>
      </w:r>
      <w:r w:rsidRPr="00680285">
        <w:t xml:space="preserve"> stanovuje zákon. Je dokumentem, který modeluje vývoj příjmů i výdajů v budoucím období. Jeho obsahem jsou též plánované investiční akce a kompletní dluhová služba. Takto sestavený výhled, který reprezentuje proces střednědobého plánování, je podkladem pro řízení rozvoje a samozřejmě i udržitelnosti ekonomické stability ÚSC. Analyzuje hospodaření ÚSC v minulosti, zobrazuje přehled o možnostech hospodaření ÚSC v budoucím období a v neposlední řadě podává informace o využití návratného způsobu financování a dlouhodobý komplexní pohled na výsledek hospodaření a finanční situaci municipality. </w:t>
      </w:r>
      <w:r w:rsidR="00EF6DD6" w:rsidRPr="00EF6DD6">
        <w:t>Při čerpání finančních prostředků z EU je přínos střednědobého výhledu rozpočtu ještě markantnější. Přispívá k úspoře času při sestavování rozpočtu, eliminaci rizik při rozhodování o nových úvěrech a usnadňuje tvorbu podkladů pro žádosti o úvěr nebo dotaci.</w:t>
      </w:r>
    </w:p>
    <w:p w14:paraId="175A507C" w14:textId="669A5C91" w:rsidR="00E90CAA" w:rsidRDefault="00203A56" w:rsidP="00E90CAA">
      <w:r w:rsidRPr="006F43CB">
        <w:t xml:space="preserve">Celé pětileté období je </w:t>
      </w:r>
      <w:r w:rsidR="00477692">
        <w:t>poznamenáno</w:t>
      </w:r>
      <w:r w:rsidRPr="006F43CB">
        <w:t xml:space="preserve"> krizovými jevy, které ovlivňovaly nejen domácí ekonomiku. V prvé řadě to byla pandemie</w:t>
      </w:r>
      <w:r w:rsidR="00E90CAA" w:rsidRPr="006F43CB">
        <w:t xml:space="preserve"> koronaviru</w:t>
      </w:r>
      <w:r w:rsidRPr="006F43CB">
        <w:t>, k</w:t>
      </w:r>
      <w:r w:rsidR="003564ED">
        <w:t xml:space="preserve">dy </w:t>
      </w:r>
      <w:r w:rsidR="003564ED" w:rsidRPr="00680CCC">
        <w:t xml:space="preserve">na vývoj ekonomiky nejdříve negativně </w:t>
      </w:r>
      <w:r w:rsidR="003564ED">
        <w:t>působily</w:t>
      </w:r>
      <w:r w:rsidR="003564ED" w:rsidRPr="00680CCC">
        <w:t xml:space="preserve"> restriktivní opatření</w:t>
      </w:r>
      <w:r w:rsidR="003564ED" w:rsidRPr="006F43CB">
        <w:t xml:space="preserve"> </w:t>
      </w:r>
      <w:r w:rsidR="003564ED">
        <w:t>a následně</w:t>
      </w:r>
      <w:r w:rsidR="00E90CAA" w:rsidRPr="006F43CB">
        <w:t xml:space="preserve"> </w:t>
      </w:r>
      <w:r w:rsidR="003564ED">
        <w:t xml:space="preserve">také </w:t>
      </w:r>
      <w:r w:rsidR="00E90CAA" w:rsidRPr="006F43CB">
        <w:t xml:space="preserve">narušení globálních dodavatelských </w:t>
      </w:r>
      <w:r w:rsidR="00EF6DD6">
        <w:t>vztahů</w:t>
      </w:r>
      <w:r w:rsidR="00E90CAA" w:rsidRPr="006F43CB">
        <w:t xml:space="preserve">, prudký nárůst cen surovin a oslabení ekonomik, což vedlo k postupnému růstu inflace. Tento problém se dále prohloubil po začátku ruské invaze na Ukrajinu v roce 2022, která narušila dodávky energií, zejména plynu a ropy, z Ruska do Evropy. Výsledkem byla energetická krize, která způsobila další růst cen nejen energií, ale i potravin a dalších komodit. </w:t>
      </w:r>
      <w:r w:rsidRPr="006F43CB">
        <w:t xml:space="preserve">Přes pokračující válku se začíná ekonomika pomalu vzpamatovávat a </w:t>
      </w:r>
      <w:r w:rsidR="00477692">
        <w:t>až</w:t>
      </w:r>
      <w:r w:rsidR="00477C42">
        <w:t xml:space="preserve"> v roce 2024 byla </w:t>
      </w:r>
      <w:r w:rsidR="00477C42" w:rsidRPr="00B97929">
        <w:t xml:space="preserve">růstem </w:t>
      </w:r>
      <w:r w:rsidR="00D916AE">
        <w:t xml:space="preserve">HDP </w:t>
      </w:r>
      <w:r w:rsidR="00477C42" w:rsidRPr="00B97929">
        <w:t xml:space="preserve">o </w:t>
      </w:r>
      <w:r w:rsidR="00477C42">
        <w:t>1,0</w:t>
      </w:r>
      <w:r w:rsidR="00477C42" w:rsidRPr="00B97929">
        <w:t xml:space="preserve"> % zajištěna návaznost na výkonnost před rokem 2020. </w:t>
      </w:r>
      <w:r w:rsidRPr="006F43CB">
        <w:t xml:space="preserve">V dalším období bude důležitý </w:t>
      </w:r>
      <w:r w:rsidR="00477692">
        <w:t>důsledek</w:t>
      </w:r>
      <w:r w:rsidRPr="006F43CB">
        <w:t xml:space="preserve"> podzimních voleb do poslanecké sněmovny </w:t>
      </w:r>
      <w:r w:rsidR="00E90CAA" w:rsidRPr="006F43CB">
        <w:t>i další geopolitický vývoj ve svě</w:t>
      </w:r>
      <w:r w:rsidR="00D25CE0">
        <w:t>tě.</w:t>
      </w:r>
    </w:p>
    <w:p w14:paraId="71819EF9" w14:textId="292B558A" w:rsidR="002C36D0" w:rsidRPr="00CF4531" w:rsidRDefault="00680285" w:rsidP="00680285">
      <w:r w:rsidRPr="00680285">
        <w:t xml:space="preserve">Proto bude třeba provádět průběžnou kontrolu naplňování v rozpočtu obsažených ukazatelů. Ze všech těchto důvodů je nezbytné přistupovat k vyhodnocování plnění SVR alespoň jednou ročně. Pro zachování jeho efektivnosti, by měl být každoročně aktualizován a jeho platnost prodloužena o další rok se znalostí aktuálního stavu a vývoje hospodaření. Při </w:t>
      </w:r>
      <w:r w:rsidRPr="00CF4531">
        <w:t>dodržení těchto pravidel má samospráva možnost operativně reagovat a svými rozhodnutími korigovat hospodaření ÚSC. Podkladem pro tvorbu tohoto dokumentu jsou následující zdroje:</w:t>
      </w:r>
    </w:p>
    <w:p w14:paraId="14BCAE7F" w14:textId="37B2E31B" w:rsidR="002C36D0" w:rsidRPr="00CF4531" w:rsidRDefault="002C36D0">
      <w:pPr>
        <w:pStyle w:val="Kaskda0"/>
        <w:numPr>
          <w:ilvl w:val="0"/>
          <w:numId w:val="18"/>
        </w:numPr>
      </w:pPr>
      <w:r w:rsidRPr="00CF4531">
        <w:t xml:space="preserve">Účetnictví a rozpočty let </w:t>
      </w:r>
      <w:r w:rsidR="001E2303" w:rsidRPr="00CF4531">
        <w:t>2020-2024</w:t>
      </w:r>
    </w:p>
    <w:p w14:paraId="257EF151" w14:textId="2FEC1D39" w:rsidR="002C36D0" w:rsidRPr="00CF4531" w:rsidRDefault="002C36D0">
      <w:pPr>
        <w:pStyle w:val="Kaskda0"/>
        <w:numPr>
          <w:ilvl w:val="0"/>
          <w:numId w:val="18"/>
        </w:numPr>
      </w:pPr>
      <w:r w:rsidRPr="00CF4531">
        <w:t>Platný rozpočet</w:t>
      </w:r>
      <w:r w:rsidR="00727DDC" w:rsidRPr="00CF4531">
        <w:t xml:space="preserve"> </w:t>
      </w:r>
      <w:r w:rsidRPr="00CF4531">
        <w:t xml:space="preserve">na rok </w:t>
      </w:r>
      <w:r w:rsidR="001E2303" w:rsidRPr="00CF4531">
        <w:t>2025</w:t>
      </w:r>
      <w:r w:rsidRPr="00CF4531">
        <w:t xml:space="preserve"> </w:t>
      </w:r>
      <w:r w:rsidR="00564E09" w:rsidRPr="00CF4531">
        <w:t>(</w:t>
      </w:r>
      <w:r w:rsidR="001E2303" w:rsidRPr="00CF4531">
        <w:t>září</w:t>
      </w:r>
      <w:r w:rsidR="00564E09" w:rsidRPr="00CF4531">
        <w:t>)</w:t>
      </w:r>
      <w:r w:rsidRPr="00CF4531">
        <w:t xml:space="preserve"> - výchozí dokument střednědobého výhledu</w:t>
      </w:r>
    </w:p>
    <w:p w14:paraId="11FC663A" w14:textId="77777777" w:rsidR="002C36D0" w:rsidRPr="00CF4531" w:rsidRDefault="002C36D0">
      <w:pPr>
        <w:pStyle w:val="Kaskda0"/>
        <w:numPr>
          <w:ilvl w:val="0"/>
          <w:numId w:val="18"/>
        </w:numPr>
      </w:pPr>
      <w:r w:rsidRPr="00CF4531">
        <w:t>Provedená analýza hospodaření města</w:t>
      </w:r>
    </w:p>
    <w:p w14:paraId="1AEA8295" w14:textId="77777777" w:rsidR="002C36D0" w:rsidRPr="00CF4531" w:rsidRDefault="002C36D0">
      <w:pPr>
        <w:pStyle w:val="Kaskda0"/>
        <w:numPr>
          <w:ilvl w:val="0"/>
          <w:numId w:val="18"/>
        </w:numPr>
      </w:pPr>
      <w:r w:rsidRPr="00CF4531">
        <w:t xml:space="preserve">Dluhová </w:t>
      </w:r>
      <w:proofErr w:type="gramStart"/>
      <w:r w:rsidRPr="00CF4531">
        <w:t>služba - splátkové</w:t>
      </w:r>
      <w:proofErr w:type="gramEnd"/>
      <w:r w:rsidRPr="00CF4531">
        <w:t xml:space="preserve"> kalendáře stávajících nebo budoucích závazků (jistin a úroků)</w:t>
      </w:r>
    </w:p>
    <w:p w14:paraId="17075546" w14:textId="50779F0D" w:rsidR="009663C3" w:rsidRPr="00CF4531" w:rsidRDefault="002C36D0" w:rsidP="009663C3">
      <w:pPr>
        <w:pStyle w:val="Kaskda0"/>
        <w:numPr>
          <w:ilvl w:val="0"/>
          <w:numId w:val="18"/>
        </w:numPr>
      </w:pPr>
      <w:r w:rsidRPr="00CF4531">
        <w:t xml:space="preserve">Predikce sdílených daní na rok </w:t>
      </w:r>
      <w:r w:rsidR="001E2303" w:rsidRPr="00CF4531">
        <w:t>2025</w:t>
      </w:r>
      <w:r w:rsidRPr="00CF4531">
        <w:t xml:space="preserve"> ze </w:t>
      </w:r>
      <w:r w:rsidR="00080619" w:rsidRPr="00CF4531">
        <w:t xml:space="preserve">schváleného </w:t>
      </w:r>
      <w:r w:rsidR="00107A6B" w:rsidRPr="00CF4531">
        <w:t>státního rozpočtu</w:t>
      </w:r>
    </w:p>
    <w:p w14:paraId="08055444" w14:textId="0194A487" w:rsidR="009663C3" w:rsidRPr="00CF4531" w:rsidRDefault="00107A6B" w:rsidP="009663C3">
      <w:pPr>
        <w:pStyle w:val="Kaskda0"/>
        <w:numPr>
          <w:ilvl w:val="0"/>
          <w:numId w:val="18"/>
        </w:numPr>
      </w:pPr>
      <w:r w:rsidRPr="00CF4531">
        <w:t xml:space="preserve">Predikce sdílených daní </w:t>
      </w:r>
      <w:r w:rsidR="00EA41D9" w:rsidRPr="00CF4531">
        <w:t>let</w:t>
      </w:r>
      <w:r w:rsidRPr="00CF4531">
        <w:t xml:space="preserve"> </w:t>
      </w:r>
      <w:proofErr w:type="gramStart"/>
      <w:r w:rsidR="001E2303" w:rsidRPr="00CF4531">
        <w:t>2026 - 2028</w:t>
      </w:r>
      <w:proofErr w:type="gramEnd"/>
      <w:r w:rsidR="00C85777" w:rsidRPr="00CF4531">
        <w:t xml:space="preserve"> </w:t>
      </w:r>
      <w:r w:rsidRPr="00CF4531">
        <w:t>z</w:t>
      </w:r>
      <w:r w:rsidR="00C36302" w:rsidRPr="00CF4531">
        <w:t xml:space="preserve"> hodnot </w:t>
      </w:r>
      <w:r w:rsidRPr="00CF4531">
        <w:t>návrhu státního rozpočtu</w:t>
      </w:r>
      <w:r w:rsidR="00CF4531" w:rsidRPr="00CF4531">
        <w:t xml:space="preserve"> </w:t>
      </w:r>
      <w:r w:rsidR="00C85777" w:rsidRPr="00CF4531">
        <w:t xml:space="preserve">a </w:t>
      </w:r>
      <w:r w:rsidR="002C36D0" w:rsidRPr="00CF4531">
        <w:t xml:space="preserve">střednědobého </w:t>
      </w:r>
      <w:r w:rsidR="0088212C" w:rsidRPr="00CF4531">
        <w:t xml:space="preserve">výhledu </w:t>
      </w:r>
      <w:r w:rsidR="002C36D0" w:rsidRPr="00CF4531">
        <w:t>rozpočtu stát</w:t>
      </w:r>
      <w:r w:rsidR="00F03C3A" w:rsidRPr="00CF4531">
        <w:t>u</w:t>
      </w:r>
    </w:p>
    <w:p w14:paraId="416DE3BA" w14:textId="77777777" w:rsidR="002C36D0" w:rsidRPr="00CF4531" w:rsidRDefault="002C36D0">
      <w:pPr>
        <w:pStyle w:val="Kaskda0"/>
        <w:numPr>
          <w:ilvl w:val="0"/>
          <w:numId w:val="18"/>
        </w:numPr>
      </w:pPr>
      <w:r w:rsidRPr="00CF4531">
        <w:t>Koeficienty odpovídající potřebám, povinnostem a ekonomickému hospodaření města dle předpokládaného vývoje ekonomiky státu</w:t>
      </w:r>
    </w:p>
    <w:p w14:paraId="61307E55" w14:textId="67720286" w:rsidR="002C36D0" w:rsidRPr="00CF4531" w:rsidRDefault="002C36D0" w:rsidP="00FD55D7">
      <w:pPr>
        <w:pStyle w:val="Kaskda0"/>
        <w:numPr>
          <w:ilvl w:val="0"/>
          <w:numId w:val="18"/>
        </w:numPr>
      </w:pPr>
      <w:r w:rsidRPr="00CF4531">
        <w:t>Předpokládané nahodilé příjmy a výdaje</w:t>
      </w:r>
    </w:p>
    <w:p w14:paraId="1C6B6CC1" w14:textId="1AD2E20E" w:rsidR="002C36D0" w:rsidRPr="00CF4531" w:rsidRDefault="002C36D0">
      <w:pPr>
        <w:pStyle w:val="Kaskda0"/>
        <w:numPr>
          <w:ilvl w:val="0"/>
          <w:numId w:val="18"/>
        </w:numPr>
      </w:pPr>
      <w:r w:rsidRPr="00CF4531">
        <w:t>Konzultace s odpovědnými pracovníky m</w:t>
      </w:r>
      <w:r w:rsidR="00D26773" w:rsidRPr="00CF4531">
        <w:t>ěstského úřadu</w:t>
      </w:r>
      <w:r w:rsidRPr="00CF4531">
        <w:t xml:space="preserve">, zejména </w:t>
      </w:r>
      <w:r w:rsidR="0005697C" w:rsidRPr="00CF4531">
        <w:t xml:space="preserve">finančního </w:t>
      </w:r>
      <w:r w:rsidRPr="00CF4531">
        <w:t>odboru</w:t>
      </w:r>
    </w:p>
    <w:p w14:paraId="6037F4D7" w14:textId="77777777" w:rsidR="00D07CE6" w:rsidRDefault="00D07CE6" w:rsidP="002C36D0">
      <w:pPr>
        <w:rPr>
          <w:highlight w:val="yellow"/>
        </w:rPr>
      </w:pPr>
    </w:p>
    <w:p w14:paraId="39CA2BDE" w14:textId="77777777" w:rsidR="004D73F1" w:rsidRDefault="004D73F1" w:rsidP="004D73F1">
      <w:pPr>
        <w:pStyle w:val="Nadpis1"/>
        <w:numPr>
          <w:ilvl w:val="0"/>
          <w:numId w:val="0"/>
        </w:numPr>
      </w:pPr>
      <w:bookmarkStart w:id="8" w:name="_Toc179835885"/>
      <w:bookmarkStart w:id="9" w:name="_Toc213758984"/>
      <w:r>
        <w:lastRenderedPageBreak/>
        <w:t>Postup tvorby střednědobého výhledu</w:t>
      </w:r>
      <w:bookmarkEnd w:id="8"/>
      <w:bookmarkEnd w:id="9"/>
    </w:p>
    <w:p w14:paraId="1C01AB6F" w14:textId="77777777" w:rsidR="004D73F1" w:rsidRDefault="004D73F1" w:rsidP="004D73F1">
      <w:pPr>
        <w:jc w:val="center"/>
      </w:pPr>
      <w:r w:rsidRPr="002A2B69">
        <w:rPr>
          <w:noProof/>
        </w:rPr>
        <w:drawing>
          <wp:inline distT="0" distB="0" distL="0" distR="0" wp14:anchorId="2D6F162D" wp14:editId="19B28CD3">
            <wp:extent cx="5568950" cy="7245350"/>
            <wp:effectExtent l="0" t="0" r="0" b="0"/>
            <wp:docPr id="51847765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A7541" w14:textId="77777777" w:rsidR="004D73F1" w:rsidRDefault="004D73F1" w:rsidP="004D73F1">
      <w:pPr>
        <w:spacing w:before="0" w:after="200"/>
        <w:jc w:val="left"/>
      </w:pPr>
      <w:r>
        <w:br w:type="page"/>
      </w:r>
    </w:p>
    <w:p w14:paraId="1D10ED5F" w14:textId="77777777" w:rsidR="004D73F1" w:rsidRDefault="004D73F1" w:rsidP="004D73F1">
      <w:pPr>
        <w:pStyle w:val="Nadpis1"/>
        <w:numPr>
          <w:ilvl w:val="0"/>
          <w:numId w:val="0"/>
        </w:numPr>
      </w:pPr>
      <w:bookmarkStart w:id="10" w:name="_Toc179835886"/>
      <w:bookmarkStart w:id="11" w:name="_Toc213758985"/>
      <w:r>
        <w:lastRenderedPageBreak/>
        <w:t>Manažerské shrnutí</w:t>
      </w:r>
      <w:bookmarkEnd w:id="10"/>
      <w:bookmarkEnd w:id="11"/>
    </w:p>
    <w:p w14:paraId="12D16C11" w14:textId="0B8B71F7" w:rsidR="009501D7" w:rsidRPr="00CF4531" w:rsidRDefault="006F43CB" w:rsidP="007A3338">
      <w:r w:rsidRPr="006F43CB">
        <w:t xml:space="preserve">Výsledky analýzy a posouzení hospodaření města jsou přehledně vyjádřeny přiděleným ratingovým hodnocením </w:t>
      </w:r>
      <w:r w:rsidR="001E2303">
        <w:t>Aaa1</w:t>
      </w:r>
      <w:r w:rsidRPr="006F43CB">
        <w:t xml:space="preserve"> (viz Kapitola 3). </w:t>
      </w:r>
      <w:r w:rsidR="009501D7" w:rsidRPr="009501D7">
        <w:t xml:space="preserve">Sestavený střednědobý výhled odráží předpoklad podobného stavu i v následujících letech. Vzhledem k značně </w:t>
      </w:r>
      <w:r>
        <w:t>nestabilním podmínkám (daný</w:t>
      </w:r>
      <w:r w:rsidR="0079161B">
        <w:t>ch</w:t>
      </w:r>
      <w:r w:rsidR="009501D7" w:rsidRPr="009501D7">
        <w:t xml:space="preserve"> národními i mezinárodními </w:t>
      </w:r>
      <w:r w:rsidR="00C92CA2">
        <w:t>vlivy</w:t>
      </w:r>
      <w:r w:rsidR="009501D7" w:rsidRPr="009501D7">
        <w:t>), kter</w:t>
      </w:r>
      <w:r w:rsidR="007A3338">
        <w:t>é</w:t>
      </w:r>
      <w:r w:rsidR="009501D7" w:rsidRPr="009501D7">
        <w:t xml:space="preserve"> město nemůže nijak ovlivnit, </w:t>
      </w:r>
      <w:r w:rsidR="00C92CA2" w:rsidRPr="00C92CA2">
        <w:t xml:space="preserve">je predikovaný vývoj hospodaření v příštích letech oceněn </w:t>
      </w:r>
      <w:r w:rsidR="00C92CA2" w:rsidRPr="00CF4531">
        <w:t>hodnocením</w:t>
      </w:r>
      <w:r w:rsidR="009501D7" w:rsidRPr="00CF4531">
        <w:t xml:space="preserve"> </w:t>
      </w:r>
      <w:r w:rsidR="001E2303" w:rsidRPr="00CF4531">
        <w:t>STR2</w:t>
      </w:r>
      <w:r w:rsidR="009501D7" w:rsidRPr="00CF4531">
        <w:t>. Město má dostatečný finanční potenciál k udržení vysokého standardu provozního hospodaření i ke svému rozvoji (investicím). Základní charakteristiku celkového hodnocení vyjadřují následující ukazatele.</w:t>
      </w:r>
    </w:p>
    <w:p w14:paraId="5DB8B5F1" w14:textId="02DF1908" w:rsidR="009501D7" w:rsidRPr="00CF4531" w:rsidRDefault="00B622B6" w:rsidP="002C36D0">
      <w:pPr>
        <w:sectPr w:rsidR="009501D7" w:rsidRPr="00CF4531" w:rsidSect="00D93300">
          <w:footerReference w:type="default" r:id="rId10"/>
          <w:headerReference w:type="first" r:id="rId11"/>
          <w:footerReference w:type="first" r:id="rId12"/>
          <w:pgSz w:w="11906" w:h="16838"/>
          <w:pgMar w:top="1417" w:right="849" w:bottom="1236" w:left="851" w:header="709" w:footer="280" w:gutter="0"/>
          <w:cols w:space="708"/>
          <w:titlePg/>
          <w:docGrid w:linePitch="360"/>
        </w:sectPr>
      </w:pPr>
      <w:r w:rsidRPr="00CF4531">
        <w:rPr>
          <w:noProof/>
        </w:rPr>
        <w:drawing>
          <wp:inline distT="0" distB="0" distL="0" distR="0" wp14:anchorId="2F9F4847" wp14:editId="0A1B96E6">
            <wp:extent cx="6480810" cy="6861175"/>
            <wp:effectExtent l="0" t="0" r="0" b="0"/>
            <wp:docPr id="164677869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8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8D697" w14:textId="26531320" w:rsidR="002C36D0" w:rsidRPr="009318B4" w:rsidRDefault="002C36D0" w:rsidP="002C36D0">
      <w:pPr>
        <w:pStyle w:val="Nadpis1"/>
      </w:pPr>
      <w:bookmarkStart w:id="12" w:name="_Toc213758986"/>
      <w:bookmarkStart w:id="13" w:name="_Toc62211716"/>
      <w:bookmarkEnd w:id="4"/>
      <w:r w:rsidRPr="009318B4">
        <w:lastRenderedPageBreak/>
        <w:t>Analýza hospodaření uplynulého období</w:t>
      </w:r>
      <w:bookmarkEnd w:id="12"/>
    </w:p>
    <w:p w14:paraId="43BD11E2" w14:textId="084D1D51" w:rsidR="00080619" w:rsidRDefault="00080619" w:rsidP="00080619">
      <w:r w:rsidRPr="00080619">
        <w:t>Analýza se zaměřuje na zhodnocení hospodaření v předcházejícím pětiletém období a na základě takto získaných poznatků je důležitým nástrojem modelování a tvorby střednědobého výhledu rozpočtu. Přínosem k reálnému sestavení SVR je analýza vývoje důl</w:t>
      </w:r>
      <w:r>
        <w:t>ežitých ekonomických ukazatelů</w:t>
      </w:r>
      <w:r w:rsidR="00E9609E">
        <w:t>:</w:t>
      </w:r>
    </w:p>
    <w:p w14:paraId="4763D954" w14:textId="2D8DE3DB" w:rsidR="00080619" w:rsidRPr="00EF6DD6" w:rsidRDefault="00080619">
      <w:pPr>
        <w:pStyle w:val="Odstavecseseznamem"/>
        <w:numPr>
          <w:ilvl w:val="0"/>
          <w:numId w:val="22"/>
        </w:numPr>
        <w:rPr>
          <w:rFonts w:ascii="Arial" w:hAnsi="Arial" w:cs="Arial"/>
          <w:szCs w:val="21"/>
        </w:rPr>
      </w:pPr>
      <w:r w:rsidRPr="00EF6DD6">
        <w:rPr>
          <w:rFonts w:ascii="Arial" w:hAnsi="Arial" w:cs="Arial"/>
          <w:szCs w:val="21"/>
        </w:rPr>
        <w:t>Bilance hospodaření (Saldo úplné)</w:t>
      </w:r>
    </w:p>
    <w:p w14:paraId="5C953744" w14:textId="340089C6" w:rsidR="00080619" w:rsidRPr="00EF6DD6" w:rsidRDefault="00080619">
      <w:pPr>
        <w:pStyle w:val="Odstavecseseznamem"/>
        <w:numPr>
          <w:ilvl w:val="0"/>
          <w:numId w:val="22"/>
        </w:numPr>
        <w:rPr>
          <w:rFonts w:ascii="Arial" w:hAnsi="Arial" w:cs="Arial"/>
          <w:szCs w:val="21"/>
        </w:rPr>
      </w:pPr>
      <w:r w:rsidRPr="00EF6DD6">
        <w:rPr>
          <w:rFonts w:ascii="Arial" w:hAnsi="Arial" w:cs="Arial"/>
          <w:szCs w:val="21"/>
        </w:rPr>
        <w:t>Saldo (bez financování)</w:t>
      </w:r>
    </w:p>
    <w:p w14:paraId="63761E0B" w14:textId="63802A9F" w:rsidR="00080619" w:rsidRPr="00EF6DD6" w:rsidRDefault="00080619">
      <w:pPr>
        <w:pStyle w:val="Odstavecseseznamem"/>
        <w:numPr>
          <w:ilvl w:val="0"/>
          <w:numId w:val="22"/>
        </w:numPr>
        <w:rPr>
          <w:rFonts w:ascii="Arial" w:hAnsi="Arial" w:cs="Arial"/>
          <w:szCs w:val="21"/>
        </w:rPr>
      </w:pPr>
      <w:r w:rsidRPr="00EF6DD6">
        <w:rPr>
          <w:rFonts w:ascii="Arial" w:hAnsi="Arial" w:cs="Arial"/>
          <w:szCs w:val="21"/>
        </w:rPr>
        <w:t>Provozní přebytek</w:t>
      </w:r>
    </w:p>
    <w:p w14:paraId="456B6CE1" w14:textId="1912DBF0" w:rsidR="00080619" w:rsidRPr="00EF6DD6" w:rsidRDefault="00080619">
      <w:pPr>
        <w:pStyle w:val="Odstavecseseznamem"/>
        <w:numPr>
          <w:ilvl w:val="0"/>
          <w:numId w:val="22"/>
        </w:numPr>
        <w:rPr>
          <w:rFonts w:ascii="Arial" w:hAnsi="Arial" w:cs="Arial"/>
          <w:szCs w:val="21"/>
        </w:rPr>
      </w:pPr>
      <w:r w:rsidRPr="00EF6DD6">
        <w:rPr>
          <w:rFonts w:ascii="Arial" w:hAnsi="Arial" w:cs="Arial"/>
          <w:szCs w:val="21"/>
        </w:rPr>
        <w:t>Ukazatel provozních úspor</w:t>
      </w:r>
    </w:p>
    <w:p w14:paraId="453CC842" w14:textId="1D32EA20" w:rsidR="00080619" w:rsidRPr="00EF6DD6" w:rsidRDefault="00080619">
      <w:pPr>
        <w:pStyle w:val="Odstavecseseznamem"/>
        <w:numPr>
          <w:ilvl w:val="0"/>
          <w:numId w:val="22"/>
        </w:numPr>
        <w:rPr>
          <w:rFonts w:ascii="Arial" w:hAnsi="Arial" w:cs="Arial"/>
          <w:szCs w:val="21"/>
        </w:rPr>
      </w:pPr>
      <w:r w:rsidRPr="00EF6DD6">
        <w:rPr>
          <w:rFonts w:ascii="Arial" w:hAnsi="Arial" w:cs="Arial"/>
          <w:szCs w:val="21"/>
        </w:rPr>
        <w:t>Ukazatel dluhové sl</w:t>
      </w:r>
      <w:r w:rsidR="00E9609E" w:rsidRPr="00EF6DD6">
        <w:rPr>
          <w:rFonts w:ascii="Arial" w:hAnsi="Arial" w:cs="Arial"/>
          <w:szCs w:val="21"/>
        </w:rPr>
        <w:t>užby</w:t>
      </w:r>
    </w:p>
    <w:p w14:paraId="47DB619F" w14:textId="2E1BE663" w:rsidR="002C36D0" w:rsidRPr="009318B4" w:rsidRDefault="00E6424A" w:rsidP="002C36D0">
      <w:r>
        <w:t>Tyto ukazatele</w:t>
      </w:r>
      <w:r w:rsidR="004E314F">
        <w:t xml:space="preserve"> jsou závislé</w:t>
      </w:r>
      <w:r w:rsidR="002C36D0" w:rsidRPr="009318B4">
        <w:t xml:space="preserve"> na vývoji dvou základních hodnot rozpočtu – </w:t>
      </w:r>
      <w:r w:rsidR="002C36D0" w:rsidRPr="00C379AC">
        <w:t xml:space="preserve">příjmů a výdajů. Pro sestavení střednědobého výhledu je pak důležitý i </w:t>
      </w:r>
      <w:r w:rsidR="00C379AC" w:rsidRPr="00C379AC">
        <w:t>průběh</w:t>
      </w:r>
      <w:r w:rsidR="002C36D0" w:rsidRPr="00C379AC">
        <w:t xml:space="preserve"> minulosti</w:t>
      </w:r>
      <w:r w:rsidR="002C36D0" w:rsidRPr="009318B4">
        <w:t xml:space="preserve"> a predikce </w:t>
      </w:r>
      <w:r w:rsidR="00871150" w:rsidRPr="00871150">
        <w:t>budoucích hodnot nejdůležitější příjmové skupiny municipalit, a to sdílených daní (daně fyzických, právnických osob a DPH)</w:t>
      </w:r>
      <w:r w:rsidR="00871150">
        <w:t>.</w:t>
      </w:r>
    </w:p>
    <w:p w14:paraId="463CDBD7" w14:textId="5E67BEED" w:rsidR="002C36D0" w:rsidRPr="009318B4" w:rsidRDefault="002C36D0" w:rsidP="002C36D0">
      <w:pPr>
        <w:pStyle w:val="Nadpis2"/>
      </w:pPr>
      <w:bookmarkStart w:id="14" w:name="_Toc62211715"/>
      <w:bookmarkStart w:id="15" w:name="_Toc213758987"/>
      <w:r w:rsidRPr="009318B4">
        <w:t>Příjmy</w:t>
      </w:r>
      <w:bookmarkEnd w:id="14"/>
      <w:bookmarkEnd w:id="15"/>
    </w:p>
    <w:p w14:paraId="27CAA119" w14:textId="23D92DE8" w:rsidR="002C36D0" w:rsidRDefault="00680285" w:rsidP="000B17F2">
      <w:r w:rsidRPr="00E8018F">
        <w:t xml:space="preserve">Příjmy za celé sledované období vykazují </w:t>
      </w:r>
      <w:r w:rsidRPr="00506328">
        <w:t>stoupající tendenci. Jejich meziroční růst je ovlivněn zejména vývojem běžných příjmů</w:t>
      </w:r>
      <w:r w:rsidR="00735192" w:rsidRPr="00506328">
        <w:t>, které</w:t>
      </w:r>
      <w:r w:rsidRPr="00506328">
        <w:t xml:space="preserve"> meziročně rostly v celém sledovaném období</w:t>
      </w:r>
      <w:r w:rsidR="00326FD2" w:rsidRPr="00506328">
        <w:t>, vyjma roku 202</w:t>
      </w:r>
      <w:r w:rsidR="00CF4531" w:rsidRPr="00506328">
        <w:t>4</w:t>
      </w:r>
      <w:r w:rsidR="000B17F2" w:rsidRPr="00506328">
        <w:t>. Relativně nízká hodnota ukazatelů ve výchozím roce 2020 byla ovlivněna probíhající covidovou pandemií.</w:t>
      </w:r>
      <w:r w:rsidR="00715F0B" w:rsidRPr="00506328">
        <w:t xml:space="preserve"> </w:t>
      </w:r>
      <w:r w:rsidR="009501D7" w:rsidRPr="00506328">
        <w:t xml:space="preserve">Výjimkou v meziročním růstu celkových příjmů </w:t>
      </w:r>
      <w:r w:rsidR="00506328" w:rsidRPr="00506328">
        <w:t>naopak není</w:t>
      </w:r>
      <w:r w:rsidRPr="00506328">
        <w:t xml:space="preserve"> rok </w:t>
      </w:r>
      <w:r w:rsidR="001E2303" w:rsidRPr="00506328">
        <w:t>2021</w:t>
      </w:r>
      <w:r w:rsidRPr="00506328">
        <w:t>,</w:t>
      </w:r>
      <w:r w:rsidRPr="00326FD2">
        <w:t xml:space="preserve"> kdy došlo k relativně významnému </w:t>
      </w:r>
      <w:r w:rsidRPr="00B947D3">
        <w:t>poklesu investičních příjmů</w:t>
      </w:r>
      <w:r w:rsidRPr="00326FD2">
        <w:t xml:space="preserve"> (o </w:t>
      </w:r>
      <w:r w:rsidR="001E2303">
        <w:t>28,6</w:t>
      </w:r>
      <w:r w:rsidR="00561352" w:rsidRPr="00326FD2">
        <w:t xml:space="preserve"> </w:t>
      </w:r>
      <w:r w:rsidRPr="00326FD2">
        <w:t xml:space="preserve">mil. Kč). Tento pokles byl zapříčiněn zejména nižšími </w:t>
      </w:r>
      <w:r w:rsidR="00CF4531">
        <w:t>investičními transfery</w:t>
      </w:r>
      <w:r w:rsidRPr="00326FD2">
        <w:t xml:space="preserve"> (o </w:t>
      </w:r>
      <w:r w:rsidR="00506328">
        <w:t>25,6</w:t>
      </w:r>
      <w:r w:rsidRPr="00326FD2">
        <w:t xml:space="preserve"> mil. Kč</w:t>
      </w:r>
      <w:proofErr w:type="gramStart"/>
      <w:r w:rsidRPr="00326FD2">
        <w:t>).</w:t>
      </w:r>
      <w:r w:rsidR="00735192" w:rsidRPr="00326FD2">
        <w:t>.</w:t>
      </w:r>
      <w:proofErr w:type="gramEnd"/>
    </w:p>
    <w:p w14:paraId="2392F554" w14:textId="77091CF1" w:rsidR="002C36D0" w:rsidRPr="007F7EE4" w:rsidRDefault="002C36D0" w:rsidP="009A770A">
      <w:pPr>
        <w:pStyle w:val="Tabulka"/>
      </w:pPr>
      <w:bookmarkStart w:id="16" w:name="_Toc213758598"/>
      <w:r w:rsidRPr="007F7EE4">
        <w:t>Přehled vývoje příjmů</w:t>
      </w:r>
      <w:bookmarkEnd w:id="16"/>
    </w:p>
    <w:p w14:paraId="05738FC0" w14:textId="428BE75A" w:rsidR="00306940" w:rsidRDefault="00B622B6" w:rsidP="00724EBF">
      <w:pPr>
        <w:pStyle w:val="Objekt"/>
      </w:pPr>
      <w:r w:rsidRPr="00B622B6">
        <w:rPr>
          <w:noProof/>
        </w:rPr>
        <w:drawing>
          <wp:inline distT="0" distB="0" distL="0" distR="0" wp14:anchorId="210B2049" wp14:editId="6563D915">
            <wp:extent cx="5894070" cy="1493520"/>
            <wp:effectExtent l="0" t="0" r="0" b="0"/>
            <wp:docPr id="1436553775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81585" w14:textId="5A71E889" w:rsidR="000D17DE" w:rsidRDefault="00BA4C31" w:rsidP="00B80591">
      <w:r w:rsidRPr="00955944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1EE0C3C" wp14:editId="61231623">
                <wp:simplePos x="0" y="0"/>
                <wp:positionH relativeFrom="margin">
                  <wp:posOffset>4990465</wp:posOffset>
                </wp:positionH>
                <wp:positionV relativeFrom="paragraph">
                  <wp:posOffset>115570</wp:posOffset>
                </wp:positionV>
                <wp:extent cx="1479550" cy="1746250"/>
                <wp:effectExtent l="0" t="0" r="6350" b="6350"/>
                <wp:wrapSquare wrapText="bothSides"/>
                <wp:docPr id="18155146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DDC80" w14:textId="5CB5C848" w:rsidR="00BA4C31" w:rsidRPr="00BA4C31" w:rsidRDefault="00BA4C31" w:rsidP="00957F27">
                            <w:pPr>
                              <w:pStyle w:val="Citt"/>
                            </w:pPr>
                            <w:r w:rsidRPr="00BA4C31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Oživení ekonomiky a následná vysoká inflace</w:t>
                            </w:r>
                            <w:r w:rsidR="00D10743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a konsolidační balíček</w:t>
                            </w:r>
                            <w:r w:rsidRPr="00BA4C31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06328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zapříčinily v</w:t>
                            </w:r>
                            <w:r w:rsidR="005F6AB9" w:rsidRPr="00506328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 letech </w:t>
                            </w:r>
                            <w:proofErr w:type="gramStart"/>
                            <w:r w:rsidRPr="00506328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202</w:t>
                            </w:r>
                            <w:r w:rsidR="002C4306" w:rsidRPr="00506328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1</w:t>
                            </w:r>
                            <w:r w:rsidR="005F6AB9" w:rsidRPr="00506328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- 202</w:t>
                            </w:r>
                            <w:r w:rsidR="002C4306" w:rsidRPr="00506328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3</w:t>
                            </w:r>
                            <w:proofErr w:type="gramEnd"/>
                            <w:r w:rsidRPr="00506328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nárůst s</w:t>
                            </w:r>
                            <w:r w:rsidRPr="00BA4C31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dílených daní o </w:t>
                            </w:r>
                            <w:r w:rsidR="001E2303">
                              <w:t>52,4</w:t>
                            </w:r>
                            <w:r w:rsidR="005F6AB9" w:rsidRPr="005F6AB9">
                              <w:t xml:space="preserve"> mil. Kč</w:t>
                            </w:r>
                            <w:r w:rsidR="00301C4F">
                              <w:t xml:space="preserve">, tj. </w:t>
                            </w:r>
                            <w:r w:rsidR="001E2303">
                              <w:t>53,8%</w:t>
                            </w:r>
                          </w:p>
                          <w:p w14:paraId="29A3D9E8" w14:textId="235C5321" w:rsidR="00BA4C31" w:rsidRPr="00BA4C31" w:rsidRDefault="00BA4C31" w:rsidP="00957F27">
                            <w:pPr>
                              <w:pStyle w:val="Citt"/>
                            </w:pPr>
                            <w:r w:rsidRPr="00BA4C31">
                              <w:tab/>
                            </w:r>
                          </w:p>
                          <w:p w14:paraId="0DEB58E6" w14:textId="77777777" w:rsidR="00BA4C31" w:rsidRPr="00BA4C31" w:rsidRDefault="00BA4C31" w:rsidP="00BA4C31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E0C3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92.95pt;margin-top:9.1pt;width:116.5pt;height:137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" stroked="f">
                <v:textbox>
                  <w:txbxContent>
                    <w:p w14:paraId="27EDDC80" w14:textId="5CB5C848" w:rsidR="00BA4C31" w:rsidRPr="00BA4C31" w:rsidRDefault="00BA4C31" w:rsidP="00957F27">
                      <w:pPr>
                        <w:pStyle w:val="Citt"/>
                      </w:pPr>
                      <w:r w:rsidRPr="00BA4C31">
                        <w:rPr>
                          <w:rStyle w:val="Odkaznakoment"/>
                          <w:sz w:val="22"/>
                          <w:szCs w:val="22"/>
                        </w:rPr>
                        <w:t>Oživení ekonomiky a následná vysoká inflace</w:t>
                      </w:r>
                      <w:r w:rsidR="00D10743">
                        <w:rPr>
                          <w:rStyle w:val="Odkaznakoment"/>
                          <w:sz w:val="22"/>
                          <w:szCs w:val="22"/>
                        </w:rPr>
                        <w:t xml:space="preserve"> a konsolidační balíček</w:t>
                      </w:r>
                      <w:r w:rsidRPr="00BA4C31">
                        <w:rPr>
                          <w:rStyle w:val="Odkaznakoment"/>
                          <w:sz w:val="22"/>
                          <w:szCs w:val="22"/>
                        </w:rPr>
                        <w:t xml:space="preserve"> </w:t>
                      </w:r>
                      <w:r w:rsidRPr="00506328">
                        <w:rPr>
                          <w:rStyle w:val="Odkaznakoment"/>
                          <w:sz w:val="22"/>
                          <w:szCs w:val="22"/>
                        </w:rPr>
                        <w:t>zapříčinily v</w:t>
                      </w:r>
                      <w:r w:rsidR="005F6AB9" w:rsidRPr="00506328">
                        <w:rPr>
                          <w:rStyle w:val="Odkaznakoment"/>
                          <w:sz w:val="22"/>
                          <w:szCs w:val="22"/>
                        </w:rPr>
                        <w:t xml:space="preserve"> letech </w:t>
                      </w:r>
                      <w:proofErr w:type="gramStart"/>
                      <w:r w:rsidRPr="00506328">
                        <w:rPr>
                          <w:rStyle w:val="Odkaznakoment"/>
                          <w:sz w:val="22"/>
                          <w:szCs w:val="22"/>
                        </w:rPr>
                        <w:t>202</w:t>
                      </w:r>
                      <w:r w:rsidR="002C4306" w:rsidRPr="00506328">
                        <w:rPr>
                          <w:rStyle w:val="Odkaznakoment"/>
                          <w:sz w:val="22"/>
                          <w:szCs w:val="22"/>
                        </w:rPr>
                        <w:t>1</w:t>
                      </w:r>
                      <w:r w:rsidR="005F6AB9" w:rsidRPr="00506328">
                        <w:rPr>
                          <w:rStyle w:val="Odkaznakoment"/>
                          <w:sz w:val="22"/>
                          <w:szCs w:val="22"/>
                        </w:rPr>
                        <w:t xml:space="preserve"> - 202</w:t>
                      </w:r>
                      <w:r w:rsidR="002C4306" w:rsidRPr="00506328">
                        <w:rPr>
                          <w:rStyle w:val="Odkaznakoment"/>
                          <w:sz w:val="22"/>
                          <w:szCs w:val="22"/>
                        </w:rPr>
                        <w:t>3</w:t>
                      </w:r>
                      <w:proofErr w:type="gramEnd"/>
                      <w:r w:rsidRPr="00506328">
                        <w:rPr>
                          <w:rStyle w:val="Odkaznakoment"/>
                          <w:sz w:val="22"/>
                          <w:szCs w:val="22"/>
                        </w:rPr>
                        <w:t xml:space="preserve"> nárůst s</w:t>
                      </w:r>
                      <w:r w:rsidRPr="00BA4C31">
                        <w:rPr>
                          <w:rStyle w:val="Odkaznakoment"/>
                          <w:sz w:val="22"/>
                          <w:szCs w:val="22"/>
                        </w:rPr>
                        <w:t xml:space="preserve">dílených daní o </w:t>
                      </w:r>
                      <w:r w:rsidR="001E2303">
                        <w:t>52,4</w:t>
                      </w:r>
                      <w:r w:rsidR="005F6AB9" w:rsidRPr="005F6AB9">
                        <w:t xml:space="preserve"> mil. Kč</w:t>
                      </w:r>
                      <w:r w:rsidR="00301C4F">
                        <w:t xml:space="preserve">, tj. </w:t>
                      </w:r>
                      <w:r w:rsidR="001E2303">
                        <w:t>53,8%</w:t>
                      </w:r>
                    </w:p>
                    <w:p w14:paraId="29A3D9E8" w14:textId="235C5321" w:rsidR="00BA4C31" w:rsidRPr="00BA4C31" w:rsidRDefault="00BA4C31" w:rsidP="00957F27">
                      <w:pPr>
                        <w:pStyle w:val="Citt"/>
                      </w:pPr>
                      <w:r w:rsidRPr="00BA4C31">
                        <w:tab/>
                      </w:r>
                    </w:p>
                    <w:p w14:paraId="0DEB58E6" w14:textId="77777777" w:rsidR="00BA4C31" w:rsidRPr="00BA4C31" w:rsidRDefault="00BA4C31" w:rsidP="00BA4C31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1468" w:rsidRPr="00955944">
        <w:t>V covidovém roce 2020 došlo</w:t>
      </w:r>
      <w:r w:rsidR="00016D33" w:rsidRPr="00955944">
        <w:t xml:space="preserve"> v souvislosti s restriktivními epidemiologickými opatřeními k </w:t>
      </w:r>
      <w:r w:rsidR="00593B8B">
        <w:t>u</w:t>
      </w:r>
      <w:r w:rsidR="002C4306">
        <w:t>tlumení</w:t>
      </w:r>
      <w:r w:rsidR="00016D33" w:rsidRPr="00955944">
        <w:t xml:space="preserve"> nejdůležitější třídy daňových příjmů</w:t>
      </w:r>
      <w:r w:rsidR="002C4306">
        <w:t>, které</w:t>
      </w:r>
      <w:r w:rsidR="00B80591" w:rsidRPr="00955944">
        <w:t xml:space="preserve"> však vedl</w:t>
      </w:r>
      <w:r w:rsidR="002C4306">
        <w:t>o</w:t>
      </w:r>
      <w:r w:rsidR="00B80591" w:rsidRPr="00955944">
        <w:t xml:space="preserve"> k posílení neinvestičních transferů prostřednictvím kompenzačního bonusu (</w:t>
      </w:r>
      <w:r w:rsidR="001E2303">
        <w:t>8,6</w:t>
      </w:r>
      <w:r w:rsidR="00B80591" w:rsidRPr="00955944">
        <w:t xml:space="preserve"> mil. Kč). </w:t>
      </w:r>
      <w:r w:rsidR="00DB0412" w:rsidRPr="00955944">
        <w:t xml:space="preserve">Tyto mimořádné transfery </w:t>
      </w:r>
      <w:r w:rsidR="00307229" w:rsidRPr="00955944">
        <w:t>nebyly od roku</w:t>
      </w:r>
      <w:r w:rsidR="00DB0412" w:rsidRPr="00955944">
        <w:t xml:space="preserve"> 2022 opakovány a struktura provozní části příjmů se </w:t>
      </w:r>
      <w:r w:rsidR="00DB0412" w:rsidRPr="00506328">
        <w:t>přiblížila období před pandemií. Dominantní postaven</w:t>
      </w:r>
      <w:r w:rsidR="005F6AB9" w:rsidRPr="00506328">
        <w:t>í</w:t>
      </w:r>
      <w:r w:rsidR="00DB0412" w:rsidRPr="00506328">
        <w:t xml:space="preserve"> daňových příjmů v</w:t>
      </w:r>
      <w:r w:rsidR="005F6AB9" w:rsidRPr="00506328">
        <w:t xml:space="preserve"> letech </w:t>
      </w:r>
      <w:proofErr w:type="gramStart"/>
      <w:r w:rsidR="00DB0412" w:rsidRPr="00506328">
        <w:t>202</w:t>
      </w:r>
      <w:r w:rsidR="002C4306" w:rsidRPr="00506328">
        <w:t>1</w:t>
      </w:r>
      <w:r w:rsidR="0088750B" w:rsidRPr="00506328">
        <w:t xml:space="preserve"> </w:t>
      </w:r>
      <w:r w:rsidR="005F6AB9" w:rsidRPr="00506328">
        <w:t>-</w:t>
      </w:r>
      <w:r w:rsidR="0088750B" w:rsidRPr="00506328">
        <w:t xml:space="preserve"> 202</w:t>
      </w:r>
      <w:r w:rsidR="002C4306" w:rsidRPr="00506328">
        <w:t>3</w:t>
      </w:r>
      <w:proofErr w:type="gramEnd"/>
      <w:r w:rsidR="00DB0412" w:rsidRPr="00506328">
        <w:t xml:space="preserve"> umocnil meziroční </w:t>
      </w:r>
      <w:r w:rsidR="005F6AB9" w:rsidRPr="00506328">
        <w:t>ná</w:t>
      </w:r>
      <w:r w:rsidR="00DB0412" w:rsidRPr="00506328">
        <w:t>růst nejvýznamnější kategorie sdílených daní (růst o</w:t>
      </w:r>
      <w:r w:rsidR="002C4306" w:rsidRPr="00506328">
        <w:t xml:space="preserve"> </w:t>
      </w:r>
      <w:r w:rsidR="001E2303" w:rsidRPr="00506328">
        <w:t>1</w:t>
      </w:r>
      <w:r w:rsidR="001E2303">
        <w:t>3,7</w:t>
      </w:r>
      <w:r w:rsidR="002C4306">
        <w:t>, resp.</w:t>
      </w:r>
      <w:r w:rsidR="0088750B" w:rsidRPr="00955944">
        <w:t xml:space="preserve"> </w:t>
      </w:r>
      <w:r w:rsidR="001E2303">
        <w:t>18,7</w:t>
      </w:r>
      <w:r w:rsidR="002C4306">
        <w:t xml:space="preserve"> a</w:t>
      </w:r>
      <w:r w:rsidR="00DB0412" w:rsidRPr="00955944">
        <w:t xml:space="preserve"> </w:t>
      </w:r>
      <w:r w:rsidR="001E2303">
        <w:t>20,0</w:t>
      </w:r>
      <w:r w:rsidR="005F5E83">
        <w:t xml:space="preserve"> </w:t>
      </w:r>
      <w:r w:rsidR="005F6AB9">
        <w:t>mil. Kč</w:t>
      </w:r>
      <w:r w:rsidR="00593B8B">
        <w:t>)</w:t>
      </w:r>
      <w:r w:rsidR="00DB0412" w:rsidRPr="00955944">
        <w:t>. Oproti příjmům běžným se investiční příjmy ve sledovaném období vyvíjí nerovnoměrně. Významn</w:t>
      </w:r>
      <w:r w:rsidR="000D17DE" w:rsidRPr="00955944">
        <w:t>ou meziroční změnu</w:t>
      </w:r>
      <w:r w:rsidR="00DB0412" w:rsidRPr="00955944">
        <w:t xml:space="preserve"> </w:t>
      </w:r>
      <w:r w:rsidR="00B947D3">
        <w:t xml:space="preserve">investičních příjmů </w:t>
      </w:r>
      <w:r w:rsidR="00DB0412" w:rsidRPr="00955944">
        <w:t>lze sledovat zejména v</w:t>
      </w:r>
      <w:r w:rsidR="00506328">
        <w:t>e zmíněném roce 2021</w:t>
      </w:r>
      <w:r w:rsidR="00DB0412" w:rsidRPr="00B947D3">
        <w:t xml:space="preserve">, kdy </w:t>
      </w:r>
      <w:r w:rsidR="001E2303">
        <w:t>investiční transfery</w:t>
      </w:r>
      <w:r w:rsidR="00DB0412" w:rsidRPr="00B947D3">
        <w:t xml:space="preserve"> </w:t>
      </w:r>
      <w:r w:rsidR="00506328">
        <w:t>poklesly</w:t>
      </w:r>
      <w:r w:rsidR="00DB0412" w:rsidRPr="00B947D3">
        <w:t xml:space="preserve"> o </w:t>
      </w:r>
      <w:r w:rsidR="00506328">
        <w:t>25,6</w:t>
      </w:r>
      <w:r w:rsidR="00DB0412" w:rsidRPr="00B947D3">
        <w:t xml:space="preserve"> mil. Kč.</w:t>
      </w:r>
      <w:r w:rsidR="000D17DE" w:rsidRPr="00B947D3">
        <w:t xml:space="preserve"> </w:t>
      </w:r>
      <w:r w:rsidR="00A16D35" w:rsidRPr="00B947D3">
        <w:t>S</w:t>
      </w:r>
      <w:r w:rsidR="000D17DE" w:rsidRPr="00B947D3">
        <w:t xml:space="preserve">kladba investičních příjmů </w:t>
      </w:r>
      <w:r w:rsidR="00A16D35" w:rsidRPr="00B947D3">
        <w:t xml:space="preserve">tak </w:t>
      </w:r>
      <w:r w:rsidR="000D17DE" w:rsidRPr="00B947D3">
        <w:t>odpovídá nahod</w:t>
      </w:r>
      <w:r w:rsidR="000D17DE" w:rsidRPr="00955944">
        <w:t>ilému charakteru a vyvíjí se nerovnoměrně</w:t>
      </w:r>
      <w:r w:rsidR="000D17DE" w:rsidRPr="00A16D35">
        <w:t>.</w:t>
      </w:r>
    </w:p>
    <w:p w14:paraId="696D32EE" w14:textId="57793565" w:rsidR="00680CCC" w:rsidRDefault="00680CCC" w:rsidP="002C36D0">
      <w:r w:rsidRPr="00A527FA">
        <w:t xml:space="preserve">Z uvedeného plyne, že </w:t>
      </w:r>
      <w:r w:rsidRPr="00506328">
        <w:t>největší vliv na meziroční vývoj celkových příjmů mají daňové příjmy reprezentované zejména sdílenými daněmi, u kterých docházelo v minulém období k neustálému růstu</w:t>
      </w:r>
      <w:r w:rsidR="00961536" w:rsidRPr="00506328">
        <w:t xml:space="preserve"> (vyjma mírného </w:t>
      </w:r>
      <w:r w:rsidR="001E2303" w:rsidRPr="00506328">
        <w:t>1,7%</w:t>
      </w:r>
      <w:r w:rsidR="00961536" w:rsidRPr="00506328">
        <w:t xml:space="preserve"> poklesu v roce 2024</w:t>
      </w:r>
      <w:r w:rsidR="00AB5AE5">
        <w:t xml:space="preserve"> - vliv konsolidačního balíčku</w:t>
      </w:r>
      <w:r w:rsidR="00961536" w:rsidRPr="00506328">
        <w:t>)</w:t>
      </w:r>
      <w:r w:rsidR="007A24E0" w:rsidRPr="00506328">
        <w:rPr>
          <w:rStyle w:val="Odkaznakoment"/>
        </w:rPr>
        <w:t>.</w:t>
      </w:r>
      <w:r w:rsidRPr="00506328">
        <w:t xml:space="preserve"> Investiční transfery, které jsou odvislé především od vypisovaných dotačních titulů a jsou pro město přínosem, přípa</w:t>
      </w:r>
      <w:r>
        <w:t>dně</w:t>
      </w:r>
      <w:r w:rsidRPr="00003DDD">
        <w:t xml:space="preserve"> kapitálové příjmy závislé na rozhodnutích zastupitelů, jsou příčinou nerovnoměrného vývoje celkových příjmů</w:t>
      </w:r>
      <w:r w:rsidR="00AB5AE5">
        <w:t>.</w:t>
      </w:r>
    </w:p>
    <w:p w14:paraId="45DBCF8D" w14:textId="2A70ED67" w:rsidR="003A5D4E" w:rsidRDefault="002C36D0" w:rsidP="008325AE">
      <w:pPr>
        <w:spacing w:before="20"/>
        <w:rPr>
          <w:rFonts w:eastAsia="Times New Roman"/>
          <w:lang w:eastAsia="cs-CZ"/>
        </w:rPr>
      </w:pPr>
      <w:r w:rsidRPr="00421C0A">
        <w:rPr>
          <w:rFonts w:eastAsia="Times New Roman"/>
          <w:lang w:eastAsia="cs-CZ"/>
        </w:rPr>
        <w:lastRenderedPageBreak/>
        <w:t xml:space="preserve">Hodnota celkových příjmů </w:t>
      </w:r>
      <w:r w:rsidRPr="00FA2A9D">
        <w:rPr>
          <w:rFonts w:eastAsia="Times New Roman"/>
          <w:lang w:eastAsia="cs-CZ"/>
        </w:rPr>
        <w:t xml:space="preserve">je v rámci běžných příjmů závislá zejména na vývoji ekonomiky státu a tím na inkasu sdílených daní. Podstatně menší vliv mají nedaňové příjmy a neinvestiční transfery. Meziroční vývoj příjmů je ovšem nezanedbatelně ovlivněn také </w:t>
      </w:r>
      <w:r w:rsidR="004A4E5C">
        <w:rPr>
          <w:rFonts w:eastAsia="Times New Roman"/>
          <w:lang w:eastAsia="cs-CZ"/>
        </w:rPr>
        <w:t>realizací</w:t>
      </w:r>
      <w:r w:rsidRPr="00FA2A9D">
        <w:rPr>
          <w:rFonts w:eastAsia="Times New Roman"/>
          <w:lang w:eastAsia="cs-CZ"/>
        </w:rPr>
        <w:t xml:space="preserve"> investičních záměrů a s tím souvisejícími obdrženými investičními dotacemi. </w:t>
      </w:r>
    </w:p>
    <w:p w14:paraId="50B4B24F" w14:textId="7324CBB6" w:rsidR="002C36D0" w:rsidRPr="00D072AF" w:rsidRDefault="002C36D0" w:rsidP="002C36D0">
      <w:pPr>
        <w:rPr>
          <w:rFonts w:eastAsia="Times New Roman"/>
          <w:lang w:eastAsia="cs-CZ"/>
        </w:rPr>
      </w:pPr>
      <w:r w:rsidRPr="00D072AF">
        <w:rPr>
          <w:rFonts w:eastAsia="Times New Roman"/>
          <w:lang w:eastAsia="cs-CZ"/>
        </w:rPr>
        <w:t xml:space="preserve">Toto lze dokumentovat nárůstem celkových příjmů v roce 2020, kdy město obdrželo dotace </w:t>
      </w:r>
      <w:r w:rsidR="003C79DF" w:rsidRPr="00D072AF">
        <w:rPr>
          <w:rFonts w:eastAsia="Times New Roman"/>
          <w:lang w:eastAsia="cs-CZ"/>
        </w:rPr>
        <w:t xml:space="preserve">na dvouleté projekty Zámecká zeď (9,2 mil. Kč) a Zámecké valy (22,4 mil. Kč). V letech </w:t>
      </w:r>
      <w:proofErr w:type="gramStart"/>
      <w:r w:rsidR="003C79DF" w:rsidRPr="00D072AF">
        <w:rPr>
          <w:rFonts w:eastAsia="Times New Roman"/>
          <w:lang w:eastAsia="cs-CZ"/>
        </w:rPr>
        <w:t>2021 – 2024</w:t>
      </w:r>
      <w:proofErr w:type="gramEnd"/>
      <w:r w:rsidR="003C79DF" w:rsidRPr="00D072AF">
        <w:rPr>
          <w:rFonts w:eastAsia="Times New Roman"/>
          <w:lang w:eastAsia="cs-CZ"/>
        </w:rPr>
        <w:t xml:space="preserve"> měly</w:t>
      </w:r>
      <w:r w:rsidR="00D072AF" w:rsidRPr="00D072AF">
        <w:rPr>
          <w:rFonts w:eastAsia="Times New Roman"/>
          <w:lang w:eastAsia="cs-CZ"/>
        </w:rPr>
        <w:t xml:space="preserve"> investiční dotace</w:t>
      </w:r>
      <w:r w:rsidR="003C79DF" w:rsidRPr="00D072AF">
        <w:rPr>
          <w:rFonts w:eastAsia="Times New Roman"/>
          <w:lang w:eastAsia="cs-CZ"/>
        </w:rPr>
        <w:t xml:space="preserve"> klesající trend.</w:t>
      </w:r>
      <w:r w:rsidR="00DB0412" w:rsidRPr="00D072AF">
        <w:rPr>
          <w:rFonts w:eastAsia="Times New Roman"/>
          <w:lang w:eastAsia="cs-CZ"/>
        </w:rPr>
        <w:t xml:space="preserve"> V roce </w:t>
      </w:r>
      <w:r w:rsidR="001E2303" w:rsidRPr="00D072AF">
        <w:t>2025</w:t>
      </w:r>
      <w:r w:rsidR="00DB0412" w:rsidRPr="00D072AF">
        <w:rPr>
          <w:rFonts w:eastAsia="Times New Roman"/>
          <w:lang w:eastAsia="cs-CZ"/>
        </w:rPr>
        <w:t xml:space="preserve"> lze jmenovat dotace na </w:t>
      </w:r>
      <w:r w:rsidR="00D072AF" w:rsidRPr="00D072AF">
        <w:rPr>
          <w:rFonts w:eastAsia="Times New Roman"/>
          <w:lang w:eastAsia="cs-CZ"/>
        </w:rPr>
        <w:t>rekonstrukci ZŠ Komenského</w:t>
      </w:r>
      <w:r w:rsidR="00DB0412" w:rsidRPr="00D072AF">
        <w:rPr>
          <w:rFonts w:eastAsia="Times New Roman"/>
          <w:lang w:eastAsia="cs-CZ"/>
        </w:rPr>
        <w:t xml:space="preserve"> (</w:t>
      </w:r>
      <w:r w:rsidR="00D072AF" w:rsidRPr="00D072AF">
        <w:rPr>
          <w:rFonts w:eastAsia="Times New Roman"/>
          <w:lang w:eastAsia="cs-CZ"/>
        </w:rPr>
        <w:t>cca 37</w:t>
      </w:r>
      <w:r w:rsidR="00DB0412" w:rsidRPr="00D072AF">
        <w:rPr>
          <w:rFonts w:eastAsia="Times New Roman"/>
          <w:lang w:eastAsia="cs-CZ"/>
        </w:rPr>
        <w:t xml:space="preserve">,0 mil. Kč) nebo </w:t>
      </w:r>
      <w:r w:rsidR="00D072AF" w:rsidRPr="00D072AF">
        <w:rPr>
          <w:rFonts w:eastAsia="Times New Roman"/>
          <w:lang w:eastAsia="cs-CZ"/>
        </w:rPr>
        <w:t xml:space="preserve">na </w:t>
      </w:r>
      <w:r w:rsidR="00D25CE0">
        <w:rPr>
          <w:rFonts w:eastAsia="Times New Roman"/>
          <w:lang w:eastAsia="cs-CZ"/>
        </w:rPr>
        <w:t>Dětskou skupinu</w:t>
      </w:r>
      <w:r w:rsidR="00DB0412" w:rsidRPr="00D072AF">
        <w:rPr>
          <w:rFonts w:eastAsia="Times New Roman"/>
          <w:lang w:eastAsia="cs-CZ"/>
        </w:rPr>
        <w:t xml:space="preserve"> (</w:t>
      </w:r>
      <w:r w:rsidR="00D072AF" w:rsidRPr="00D072AF">
        <w:rPr>
          <w:rFonts w:eastAsia="Times New Roman"/>
          <w:lang w:eastAsia="cs-CZ"/>
        </w:rPr>
        <w:t xml:space="preserve">cca </w:t>
      </w:r>
      <w:r w:rsidR="00D25CE0">
        <w:rPr>
          <w:rFonts w:eastAsia="Times New Roman"/>
          <w:lang w:eastAsia="cs-CZ"/>
        </w:rPr>
        <w:t>7</w:t>
      </w:r>
      <w:r w:rsidR="00DB0412" w:rsidRPr="00D072AF">
        <w:rPr>
          <w:rFonts w:eastAsia="Times New Roman"/>
          <w:lang w:eastAsia="cs-CZ"/>
        </w:rPr>
        <w:t>,0 mil. Kč).</w:t>
      </w:r>
    </w:p>
    <w:p w14:paraId="07385CAB" w14:textId="5F6B0924" w:rsidR="00DF50A5" w:rsidRPr="000972D9" w:rsidRDefault="000972D9" w:rsidP="000972D9">
      <w:pPr>
        <w:pStyle w:val="Titul"/>
        <w:rPr>
          <w:rFonts w:eastAsia="Times New Roman"/>
          <w:highlight w:val="yellow"/>
          <w:lang w:eastAsia="cs-CZ"/>
        </w:rPr>
      </w:pPr>
      <w:bookmarkStart w:id="17" w:name="_Toc213758640"/>
      <w:r>
        <w:t>Celkové příjmy</w:t>
      </w:r>
      <w:bookmarkEnd w:id="17"/>
    </w:p>
    <w:p w14:paraId="1847AE84" w14:textId="24B5FDEF" w:rsidR="00DF50A5" w:rsidRDefault="00B622B6" w:rsidP="00DF50A5">
      <w:pPr>
        <w:spacing w:before="20"/>
        <w:rPr>
          <w:rFonts w:eastAsia="Times New Roman"/>
          <w:lang w:eastAsia="cs-CZ"/>
        </w:rPr>
      </w:pPr>
      <w:r w:rsidRPr="00B622B6">
        <w:rPr>
          <w:rFonts w:eastAsia="Times New Roman"/>
          <w:noProof/>
          <w:lang w:eastAsia="cs-CZ"/>
        </w:rPr>
        <w:drawing>
          <wp:inline distT="0" distB="0" distL="0" distR="0" wp14:anchorId="380B757A" wp14:editId="7F5400CB">
            <wp:extent cx="6480810" cy="2843530"/>
            <wp:effectExtent l="0" t="0" r="0" b="0"/>
            <wp:docPr id="1177582391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95B5D" w14:textId="6205B82A" w:rsidR="002C36D0" w:rsidRPr="004D0FAA" w:rsidRDefault="002C36D0" w:rsidP="004D0FAA">
      <w:pPr>
        <w:pStyle w:val="Nadpis3"/>
      </w:pPr>
      <w:r w:rsidRPr="004D0FAA">
        <w:t>Daňové příjmy</w:t>
      </w:r>
    </w:p>
    <w:p w14:paraId="30A2D062" w14:textId="0CAA6590" w:rsidR="002C36D0" w:rsidRDefault="005E00C9" w:rsidP="002C36D0">
      <w:r>
        <w:rPr>
          <w:noProof/>
        </w:rPr>
        <w:t>N</w:t>
      </w:r>
      <w:proofErr w:type="spellStart"/>
      <w:r w:rsidR="002C36D0" w:rsidRPr="00421C0A">
        <w:t>ejdůležitějš</w:t>
      </w:r>
      <w:r w:rsidR="009C6151">
        <w:t>í</w:t>
      </w:r>
      <w:proofErr w:type="spellEnd"/>
      <w:r w:rsidR="009C6151">
        <w:t xml:space="preserve"> </w:t>
      </w:r>
      <w:r w:rsidR="002C36D0" w:rsidRPr="00421C0A">
        <w:t xml:space="preserve">příjmovou skupinou jsou příjmy daňové. Daňové příjmy tvořily za posledních pět let v průměru </w:t>
      </w:r>
      <w:r w:rsidR="001E2303">
        <w:t>65,1 %</w:t>
      </w:r>
      <w:r w:rsidR="002C36D0" w:rsidRPr="00421C0A">
        <w:t xml:space="preserve"> příjmů běžných a </w:t>
      </w:r>
      <w:r w:rsidR="001E2303">
        <w:t>62,9 %</w:t>
      </w:r>
      <w:r w:rsidR="006B22B3">
        <w:t xml:space="preserve"> </w:t>
      </w:r>
      <w:r w:rsidR="002C36D0" w:rsidRPr="00421C0A">
        <w:t>příjmů celkových.</w:t>
      </w:r>
      <w:r w:rsidR="00FF43AD">
        <w:t xml:space="preserve"> To dokládá </w:t>
      </w:r>
      <w:r>
        <w:t xml:space="preserve">jejich </w:t>
      </w:r>
      <w:r w:rsidR="00FF43AD">
        <w:t>dominanci</w:t>
      </w:r>
      <w:r w:rsidR="00FF43AD" w:rsidRPr="003D2538">
        <w:t xml:space="preserve"> nad ostatními příjmovými skupinami.</w:t>
      </w:r>
    </w:p>
    <w:p w14:paraId="12D94E43" w14:textId="00A10C11" w:rsidR="00837473" w:rsidRDefault="00837473" w:rsidP="00957F27">
      <w:r w:rsidRPr="00837473">
        <w:rPr>
          <w:b/>
          <w:bCs/>
        </w:rPr>
        <w:t>Sdílené daně</w:t>
      </w:r>
      <w:r>
        <w:t xml:space="preserve"> jsou</w:t>
      </w:r>
      <w:r w:rsidRPr="003D2538">
        <w:t xml:space="preserve"> </w:t>
      </w:r>
      <w:r>
        <w:t>z</w:t>
      </w:r>
      <w:r w:rsidRPr="003D2538">
        <w:t>áklad</w:t>
      </w:r>
      <w:r>
        <w:t>em</w:t>
      </w:r>
      <w:r w:rsidRPr="003D2538">
        <w:t xml:space="preserve"> příjmové části rozpočtu města</w:t>
      </w:r>
      <w:r w:rsidR="00957F27">
        <w:t>, jejich p</w:t>
      </w:r>
      <w:r w:rsidR="00957F27" w:rsidRPr="005F10B2">
        <w:rPr>
          <w:rStyle w:val="Odkaznakoment"/>
          <w:sz w:val="22"/>
          <w:szCs w:val="22"/>
        </w:rPr>
        <w:t xml:space="preserve">odíl na daňových příjmech je </w:t>
      </w:r>
      <w:r w:rsidR="001E2303">
        <w:t>73,8 %</w:t>
      </w:r>
      <w:r w:rsidR="00957F27">
        <w:t xml:space="preserve">. </w:t>
      </w:r>
      <w:r w:rsidRPr="003D2538">
        <w:t xml:space="preserve">Plnění rozpočtovaných příjmů v této oblasti je </w:t>
      </w:r>
      <w:r w:rsidR="00957F27">
        <w:t xml:space="preserve">tudíž </w:t>
      </w:r>
      <w:r w:rsidRPr="003D2538">
        <w:t xml:space="preserve">nutné věnovat náležitou pozornost. </w:t>
      </w:r>
      <w:r w:rsidRPr="008D732D">
        <w:t>Historický vývoj sdílených daní je popsán v příloze č. 1.</w:t>
      </w:r>
      <w:r>
        <w:t xml:space="preserve"> </w:t>
      </w:r>
      <w:r w:rsidR="00957F27">
        <w:t xml:space="preserve"> </w:t>
      </w:r>
      <w:r>
        <w:t>Jejich vývoj a predikce na právě probíhající rok jsou analyzovány samostatně v následujícím textu.</w:t>
      </w:r>
      <w:r w:rsidR="00D10743">
        <w:t xml:space="preserve"> </w:t>
      </w:r>
      <w:r w:rsidR="00D10743" w:rsidRPr="00D10743">
        <w:t>Hodnoty v roce 2024 jsou ovlivněny konsolidačním balíčkem.</w:t>
      </w:r>
    </w:p>
    <w:p w14:paraId="526666E8" w14:textId="5237DFD8" w:rsidR="003720E9" w:rsidRDefault="003720E9" w:rsidP="003720E9">
      <w:pPr>
        <w:pStyle w:val="Tabulka"/>
      </w:pPr>
      <w:bookmarkStart w:id="18" w:name="_Toc213758599"/>
      <w:r w:rsidRPr="007F7EE4">
        <w:t>Vývoj sdílených daní</w:t>
      </w:r>
      <w:bookmarkEnd w:id="18"/>
    </w:p>
    <w:p w14:paraId="3D86B689" w14:textId="7B0C5DB9" w:rsidR="003720E9" w:rsidRDefault="00B622B6" w:rsidP="003720E9">
      <w:pPr>
        <w:pStyle w:val="Objekt"/>
        <w:spacing w:after="120"/>
      </w:pPr>
      <w:r w:rsidRPr="00B622B6">
        <w:rPr>
          <w:noProof/>
        </w:rPr>
        <w:drawing>
          <wp:inline distT="0" distB="0" distL="0" distR="0" wp14:anchorId="2290366F" wp14:editId="3E69C737">
            <wp:extent cx="5894070" cy="1158875"/>
            <wp:effectExtent l="0" t="0" r="0" b="3175"/>
            <wp:docPr id="1562187479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A5A56" w14:textId="1256E5A8" w:rsidR="002C36D0" w:rsidRPr="007D3888" w:rsidRDefault="002C36D0" w:rsidP="002C36D0">
      <w:r w:rsidRPr="007D3888">
        <w:t xml:space="preserve">Sdílené daně predikované společností AQE </w:t>
      </w:r>
      <w:proofErr w:type="spellStart"/>
      <w:r w:rsidRPr="007D3888">
        <w:t>advisors</w:t>
      </w:r>
      <w:proofErr w:type="spellEnd"/>
      <w:r w:rsidRPr="007D3888">
        <w:t xml:space="preserve">, a.s. vycházejí z údajů platného státního rozpočtu na rok </w:t>
      </w:r>
      <w:r w:rsidR="001E2303">
        <w:t>2025</w:t>
      </w:r>
      <w:r w:rsidRPr="007D3888">
        <w:t xml:space="preserve">, zákona č. 243/2000 Sb., o rozpočtovém určení daní územním samosprávným celkům a některým státním fondům a vyhlášky </w:t>
      </w:r>
      <w:r w:rsidR="001E2303">
        <w:t>301/2025</w:t>
      </w:r>
      <w:r w:rsidR="00DC7B17">
        <w:t xml:space="preserve"> </w:t>
      </w:r>
      <w:r w:rsidRPr="007D3888">
        <w:t>Sb., o podílu jednotlivých obcí na stanovených procentních částech celostátního hrubého výnosu daně z přidané hodnoty a daní z příjmů. Hodnoty pro výpočet sdílených daní jsou určeny následovně:</w:t>
      </w:r>
    </w:p>
    <w:p w14:paraId="46188C01" w14:textId="425FD5D7" w:rsidR="002C36D0" w:rsidRPr="007F609C" w:rsidRDefault="00257323" w:rsidP="00AA44BA">
      <w:pPr>
        <w:pStyle w:val="Objekt"/>
      </w:pPr>
      <w:r w:rsidRPr="00257323">
        <w:rPr>
          <w:noProof/>
        </w:rPr>
        <w:lastRenderedPageBreak/>
        <w:drawing>
          <wp:inline distT="0" distB="0" distL="0" distR="0" wp14:anchorId="758732C2" wp14:editId="21C94B70">
            <wp:extent cx="3550920" cy="11277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FD875" w14:textId="6F947E6D" w:rsidR="00701261" w:rsidRDefault="00701261" w:rsidP="009A770A">
      <w:pPr>
        <w:pStyle w:val="Tabulka"/>
      </w:pPr>
      <w:bookmarkStart w:id="19" w:name="_Toc213758600"/>
      <w:r w:rsidRPr="00701261">
        <w:t>Predikce sdílených daní na aktuální rok</w:t>
      </w:r>
      <w:bookmarkEnd w:id="19"/>
    </w:p>
    <w:p w14:paraId="78DFCF07" w14:textId="2A44B6C4" w:rsidR="00701261" w:rsidRDefault="005F10B2" w:rsidP="008C27FC">
      <w:pPr>
        <w:pStyle w:val="Objekt"/>
        <w:spacing w:after="1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9366D7" wp14:editId="58BF4C12">
                <wp:simplePos x="0" y="0"/>
                <wp:positionH relativeFrom="margin">
                  <wp:posOffset>4965065</wp:posOffset>
                </wp:positionH>
                <wp:positionV relativeFrom="paragraph">
                  <wp:posOffset>9525</wp:posOffset>
                </wp:positionV>
                <wp:extent cx="1479550" cy="1473200"/>
                <wp:effectExtent l="0" t="0" r="635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B9054" w14:textId="0F544870" w:rsidR="006F4442" w:rsidRPr="005F10B2" w:rsidRDefault="006F4442" w:rsidP="00957F27">
                            <w:pPr>
                              <w:pStyle w:val="Citt"/>
                            </w:pPr>
                            <w:r w:rsidRPr="005F10B2">
                              <w:t xml:space="preserve">Předpokládaný meziroční růst sdílených daní </w:t>
                            </w:r>
                            <w:r w:rsidR="008D7EF6">
                              <w:t xml:space="preserve">v roce </w:t>
                            </w:r>
                            <w:r w:rsidR="001E2303">
                              <w:t>2025</w:t>
                            </w:r>
                            <w:r w:rsidRPr="00230F37">
                              <w:t xml:space="preserve"> dle MF ČR bude </w:t>
                            </w:r>
                            <w:r w:rsidR="00257323">
                              <w:t>4,7</w:t>
                            </w:r>
                            <w:r w:rsidRPr="00230F37">
                              <w:t xml:space="preserve"> mil. Kč, tj. </w:t>
                            </w:r>
                            <w:r w:rsidR="00257323">
                              <w:t>6,7</w:t>
                            </w:r>
                            <w:r w:rsidR="001E2303">
                              <w:t>%</w:t>
                            </w:r>
                          </w:p>
                          <w:p w14:paraId="1FFF8FBC" w14:textId="08D0946B" w:rsidR="006F4442" w:rsidRPr="005F10B2" w:rsidRDefault="006F4442" w:rsidP="006F4442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366D7" id="_x0000_s1027" type="#_x0000_t202" style="position:absolute;margin-left:390.95pt;margin-top:.75pt;width:116.5pt;height:11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" stroked="f">
                <v:textbox>
                  <w:txbxContent>
                    <w:p w14:paraId="7C4B9054" w14:textId="0F544870" w:rsidR="006F4442" w:rsidRPr="005F10B2" w:rsidRDefault="006F4442" w:rsidP="00957F27">
                      <w:pPr>
                        <w:pStyle w:val="Citt"/>
                      </w:pPr>
                      <w:r w:rsidRPr="005F10B2">
                        <w:t xml:space="preserve">Předpokládaný meziroční růst sdílených daní </w:t>
                      </w:r>
                      <w:r w:rsidR="008D7EF6">
                        <w:t xml:space="preserve">v roce </w:t>
                      </w:r>
                      <w:r w:rsidR="001E2303">
                        <w:t>2025</w:t>
                      </w:r>
                      <w:r w:rsidRPr="00230F37">
                        <w:t xml:space="preserve"> dle MF ČR bude </w:t>
                      </w:r>
                      <w:r w:rsidR="00257323">
                        <w:t>4,7</w:t>
                      </w:r>
                      <w:r w:rsidRPr="00230F37">
                        <w:t xml:space="preserve"> mil. Kč, tj. </w:t>
                      </w:r>
                      <w:r w:rsidR="00257323">
                        <w:t>6,7</w:t>
                      </w:r>
                      <w:r w:rsidR="001E2303">
                        <w:t>%</w:t>
                      </w:r>
                    </w:p>
                    <w:p w14:paraId="1FFF8FBC" w14:textId="08D0946B" w:rsidR="006F4442" w:rsidRPr="005F10B2" w:rsidRDefault="006F4442" w:rsidP="006F4442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7323" w:rsidRPr="00257323">
        <w:t xml:space="preserve"> </w:t>
      </w:r>
      <w:r w:rsidR="00257323" w:rsidRPr="00257323">
        <w:rPr>
          <w:noProof/>
        </w:rPr>
        <w:drawing>
          <wp:inline distT="0" distB="0" distL="0" distR="0" wp14:anchorId="7C0E5BEF" wp14:editId="292459BE">
            <wp:extent cx="4636800" cy="1512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52C54" w14:textId="36A44CBE" w:rsidR="007F33C1" w:rsidRDefault="002C36D0" w:rsidP="00842CE0">
      <w:pPr>
        <w:spacing w:before="60" w:after="60"/>
      </w:pPr>
      <w:r w:rsidRPr="007D3888">
        <w:t xml:space="preserve">Druhý sloupec tabulky uvádí očekávanou </w:t>
      </w:r>
      <w:r w:rsidR="00556A1E">
        <w:t>změnu ve výši</w:t>
      </w:r>
      <w:r w:rsidRPr="007D3888">
        <w:t xml:space="preserve"> sdílených daní dle předpokládaného plnění státního rozpočtu na rok </w:t>
      </w:r>
      <w:r w:rsidR="001E2303">
        <w:t>2025</w:t>
      </w:r>
      <w:r w:rsidRPr="007D3888">
        <w:t>. Třetí sloupec zachycuje kon</w:t>
      </w:r>
      <w:r w:rsidR="00237796">
        <w:t xml:space="preserve">krétní predikci pro </w:t>
      </w:r>
      <w:r w:rsidR="00327FF1">
        <w:t xml:space="preserve">město </w:t>
      </w:r>
      <w:r w:rsidR="001E2303">
        <w:t xml:space="preserve">Slavkov u </w:t>
      </w:r>
      <w:proofErr w:type="gramStart"/>
      <w:r w:rsidR="001E2303">
        <w:t>Brna</w:t>
      </w:r>
      <w:r w:rsidRPr="007D3888">
        <w:t xml:space="preserve"> - pravděpodobně</w:t>
      </w:r>
      <w:proofErr w:type="gramEnd"/>
      <w:r w:rsidRPr="007D3888">
        <w:t xml:space="preserve"> dosažitelný objem financí plynoucí ze sdílených daní roku </w:t>
      </w:r>
      <w:r w:rsidR="001E2303">
        <w:t>2025</w:t>
      </w:r>
      <w:r w:rsidRPr="007D3888">
        <w:t xml:space="preserve">. Čtvrtý sloupec obsahuje údaje sdílených daní dle </w:t>
      </w:r>
      <w:r w:rsidR="00010BC6">
        <w:t>platného</w:t>
      </w:r>
      <w:r w:rsidRPr="007D3888">
        <w:t xml:space="preserve"> rozpočtu města. </w:t>
      </w:r>
      <w:r w:rsidR="008F6FDF" w:rsidRPr="008F6FDF">
        <w:t>Poslední sloupec tabulky zobrazuje odchylku mezi maximální predikovanou hodnotou SD, vycházející z hodnot SR a hodnotou rozpočtovanou městem.</w:t>
      </w:r>
      <w:r w:rsidR="008F6FDF">
        <w:t xml:space="preserve"> </w:t>
      </w:r>
      <w:r w:rsidRPr="007D3888">
        <w:t xml:space="preserve">Ze </w:t>
      </w:r>
      <w:r w:rsidRPr="000B21CC">
        <w:t xml:space="preserve">srovnání třetího a čtvrtého sloupce vidíme, že rozpočet města má </w:t>
      </w:r>
      <w:r w:rsidR="001E2303" w:rsidRPr="000B21CC">
        <w:t>nižší</w:t>
      </w:r>
      <w:r w:rsidRPr="000B21CC">
        <w:t xml:space="preserve"> hodnoty než tato výchozí predikce (o </w:t>
      </w:r>
      <w:r w:rsidR="00257323">
        <w:t>5,7</w:t>
      </w:r>
      <w:r w:rsidR="001E2303" w:rsidRPr="000B21CC">
        <w:t xml:space="preserve"> %</w:t>
      </w:r>
      <w:r w:rsidRPr="000B21CC">
        <w:t xml:space="preserve"> oproti predikci MF ČR). </w:t>
      </w:r>
      <w:r w:rsidR="00D331B9" w:rsidRPr="000B21CC">
        <w:t xml:space="preserve">Při optimálním výběru sdílených daní </w:t>
      </w:r>
      <w:r w:rsidR="00967EC9" w:rsidRPr="000B21CC">
        <w:t>tedy</w:t>
      </w:r>
      <w:r w:rsidR="00D331B9" w:rsidRPr="000B21CC">
        <w:t xml:space="preserve"> do rozpočtu </w:t>
      </w:r>
      <w:r w:rsidR="00967EC9" w:rsidRPr="000B21CC">
        <w:t xml:space="preserve">přiteče </w:t>
      </w:r>
      <w:r w:rsidR="00093A62" w:rsidRPr="000B21CC">
        <w:t>dalších</w:t>
      </w:r>
      <w:r w:rsidR="00D331B9" w:rsidRPr="000B21CC">
        <w:t xml:space="preserve"> </w:t>
      </w:r>
      <w:r w:rsidR="00257323">
        <w:t>8,6</w:t>
      </w:r>
      <w:r w:rsidR="000C5278" w:rsidRPr="000B21CC">
        <w:t xml:space="preserve"> </w:t>
      </w:r>
      <w:r w:rsidR="00967EC9" w:rsidRPr="000B21CC">
        <w:t>mil. Kč.</w:t>
      </w:r>
      <w:r w:rsidR="00967EC9" w:rsidRPr="00DC33A5">
        <w:t xml:space="preserve"> </w:t>
      </w:r>
    </w:p>
    <w:p w14:paraId="6A4353CA" w14:textId="37B90B18" w:rsidR="00C20930" w:rsidRDefault="0075505F" w:rsidP="00842CE0">
      <w:pPr>
        <w:spacing w:before="60" w:after="60"/>
      </w:pPr>
      <w:r w:rsidRPr="00F10925">
        <w:t>Inkaso sdílených daní čelí neustále se měnícímu ekonomickému vývoji, který je ovlivněn celou řadou</w:t>
      </w:r>
      <w:r w:rsidR="00C20930" w:rsidRPr="00F10925">
        <w:t xml:space="preserve"> nejen</w:t>
      </w:r>
      <w:r w:rsidRPr="00F10925">
        <w:t xml:space="preserve"> </w:t>
      </w:r>
      <w:r w:rsidR="00C20930" w:rsidRPr="00F10925">
        <w:t xml:space="preserve">lokálních, ale také globálních </w:t>
      </w:r>
      <w:r w:rsidRPr="00F10925">
        <w:t>faktorů</w:t>
      </w:r>
      <w:r w:rsidR="00C20930" w:rsidRPr="00F10925">
        <w:t xml:space="preserve">. Realizace </w:t>
      </w:r>
      <w:r w:rsidR="00556A1E">
        <w:t>g</w:t>
      </w:r>
      <w:r w:rsidR="00C20930" w:rsidRPr="00F10925">
        <w:t xml:space="preserve">reen </w:t>
      </w:r>
      <w:proofErr w:type="spellStart"/>
      <w:r w:rsidR="00C20930" w:rsidRPr="00F10925">
        <w:t>dealu</w:t>
      </w:r>
      <w:proofErr w:type="spellEnd"/>
      <w:r w:rsidR="00C20930" w:rsidRPr="00F10925">
        <w:t xml:space="preserve"> i</w:t>
      </w:r>
      <w:r w:rsidRPr="00F10925">
        <w:t xml:space="preserve"> </w:t>
      </w:r>
      <w:r w:rsidR="00C20930" w:rsidRPr="00F10925">
        <w:t xml:space="preserve">rostoucí byrokracie v EU mají negativní vliv na rozvoj průmyslu v Evropě a </w:t>
      </w:r>
      <w:r w:rsidR="00A10E3D" w:rsidRPr="00F10925">
        <w:t>přispív</w:t>
      </w:r>
      <w:r w:rsidR="00732AAF">
        <w:t>ají</w:t>
      </w:r>
      <w:r w:rsidR="00A10E3D" w:rsidRPr="00F10925">
        <w:t xml:space="preserve"> k </w:t>
      </w:r>
      <w:r w:rsidR="00C20930" w:rsidRPr="00F10925">
        <w:t>jeho následném odlivu</w:t>
      </w:r>
      <w:r w:rsidR="00732AAF">
        <w:t>. Z</w:t>
      </w:r>
      <w:r w:rsidR="00A10E3D" w:rsidRPr="00F10925">
        <w:t>měny ve vedení silných ekonomik mají zase</w:t>
      </w:r>
      <w:r w:rsidR="009174ED" w:rsidRPr="00F10925">
        <w:t xml:space="preserve"> zásadní</w:t>
      </w:r>
      <w:r w:rsidR="00A10E3D" w:rsidRPr="00F10925">
        <w:t xml:space="preserve"> vliv </w:t>
      </w:r>
      <w:r w:rsidR="009174ED" w:rsidRPr="00F10925">
        <w:t>na mezinárodní obchod a spolupráci, dopad konsolidační</w:t>
      </w:r>
      <w:r w:rsidR="00FE424B">
        <w:t>ho</w:t>
      </w:r>
      <w:r w:rsidR="009174ED" w:rsidRPr="00F10925">
        <w:t xml:space="preserve"> balíčku veřejných financí nebo </w:t>
      </w:r>
      <w:r w:rsidR="005F5E83">
        <w:t>proběhlé</w:t>
      </w:r>
      <w:r w:rsidR="009174ED" w:rsidRPr="00F10925">
        <w:t xml:space="preserve"> parlamentní volby pak ovlivňují dění přímo v domácí ekonomice. Všechny tyto faktory se promítají do klíčových ukazatelů, jako jsou nezaměstnanost</w:t>
      </w:r>
      <w:r w:rsidR="00F10925">
        <w:t>,</w:t>
      </w:r>
      <w:r w:rsidR="009174ED" w:rsidRPr="00F10925">
        <w:t xml:space="preserve"> míra inflace</w:t>
      </w:r>
      <w:r w:rsidR="00F10925">
        <w:t xml:space="preserve"> nebo ceny energií</w:t>
      </w:r>
      <w:r w:rsidR="009174ED" w:rsidRPr="00F10925">
        <w:t xml:space="preserve">, a zásadně ovlivňují inkaso nejdůležitějších </w:t>
      </w:r>
      <w:r w:rsidR="00556A1E">
        <w:t xml:space="preserve">příjmových </w:t>
      </w:r>
      <w:proofErr w:type="gramStart"/>
      <w:r w:rsidR="00556A1E">
        <w:t xml:space="preserve">položek - </w:t>
      </w:r>
      <w:r w:rsidR="009174ED" w:rsidRPr="00F10925">
        <w:t>sdílených</w:t>
      </w:r>
      <w:proofErr w:type="gramEnd"/>
      <w:r w:rsidR="009174ED" w:rsidRPr="00F10925">
        <w:t xml:space="preserve"> daní.</w:t>
      </w:r>
      <w:r w:rsidR="00A10E3D" w:rsidRPr="00F10925">
        <w:t xml:space="preserve"> </w:t>
      </w:r>
    </w:p>
    <w:p w14:paraId="7D412295" w14:textId="6B26D143" w:rsidR="00F10925" w:rsidRDefault="00680285" w:rsidP="00842CE0">
      <w:pPr>
        <w:spacing w:before="60"/>
      </w:pPr>
      <w:r w:rsidRPr="00B97929">
        <w:t>Z výše popsaných důvodů je důležité pravidelně sledovat nejen vývoj sdílených daní ale i plnění celého rozpočtu a při jakékoliv odchylce od hodnot rozpočtu na tento vývoj adekvátně reagovat.</w:t>
      </w:r>
      <w:r w:rsidR="00F10925">
        <w:t xml:space="preserve"> Predikce vývoje sdílených daní </w:t>
      </w:r>
      <w:r w:rsidR="00556A1E">
        <w:t>je</w:t>
      </w:r>
      <w:r w:rsidR="00F10925" w:rsidRPr="00F10925">
        <w:t xml:space="preserve"> součástí závěrečné kapitoly v tabulce „Predikce sdílených daní dle MF ČR“.</w:t>
      </w:r>
    </w:p>
    <w:p w14:paraId="18AF11CD" w14:textId="644EDA96" w:rsidR="00DC3585" w:rsidRPr="00AE1AF1" w:rsidRDefault="00DC3585" w:rsidP="00DC3585">
      <w:pPr>
        <w:pStyle w:val="Titul"/>
        <w:rPr>
          <w:color w:val="0018F5"/>
        </w:rPr>
      </w:pPr>
      <w:bookmarkStart w:id="20" w:name="_Toc213758641"/>
      <w:r>
        <w:t>S</w:t>
      </w:r>
      <w:r w:rsidR="000972D9">
        <w:t>dílené daně</w:t>
      </w:r>
      <w:r w:rsidRPr="00AE1AF1">
        <w:rPr>
          <w:color w:val="0018F5"/>
        </w:rPr>
        <w:t>….</w:t>
      </w:r>
      <w:bookmarkEnd w:id="20"/>
    </w:p>
    <w:p w14:paraId="692056CE" w14:textId="5A577EE4" w:rsidR="00DC3585" w:rsidRDefault="00B622B6" w:rsidP="00A45E61">
      <w:r w:rsidRPr="00B622B6">
        <w:rPr>
          <w:noProof/>
        </w:rPr>
        <w:drawing>
          <wp:inline distT="0" distB="0" distL="0" distR="0" wp14:anchorId="7EC93D89" wp14:editId="6F7A7C0E">
            <wp:extent cx="6480810" cy="2386330"/>
            <wp:effectExtent l="0" t="0" r="0" b="0"/>
            <wp:docPr id="746620040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4899F" w14:textId="10770903" w:rsidR="005E00C9" w:rsidRDefault="00837473" w:rsidP="005E00C9">
      <w:r w:rsidRPr="00B1121E">
        <w:rPr>
          <w:b/>
          <w:bCs/>
        </w:rPr>
        <w:lastRenderedPageBreak/>
        <w:t>Ostatní daňové příjmy</w:t>
      </w:r>
      <w:r>
        <w:t xml:space="preserve"> jsou nedílnou součástí příjmového rozpočtu města. </w:t>
      </w:r>
      <w:r w:rsidR="005E00C9">
        <w:t xml:space="preserve">Kromě celkových hodnot daňových příjmů jsou v následujícím přehledu zobrazeny objemově nejvýznamnější položky, vyjma sdílených daní. </w:t>
      </w:r>
    </w:p>
    <w:p w14:paraId="223D38C0" w14:textId="77777777" w:rsidR="00DF50A5" w:rsidRPr="00AE1AF1" w:rsidRDefault="00DF50A5" w:rsidP="00DF50A5">
      <w:pPr>
        <w:pStyle w:val="Titul"/>
        <w:rPr>
          <w:color w:val="0018F5"/>
        </w:rPr>
      </w:pPr>
      <w:bookmarkStart w:id="21" w:name="_Toc189776141"/>
      <w:bookmarkStart w:id="22" w:name="_Toc189777556"/>
      <w:bookmarkStart w:id="23" w:name="_Toc213758642"/>
      <w:r>
        <w:t>Daňové příjmy</w:t>
      </w:r>
      <w:bookmarkEnd w:id="21"/>
      <w:bookmarkEnd w:id="22"/>
      <w:r w:rsidRPr="00AE1AF1">
        <w:rPr>
          <w:color w:val="0018F5"/>
        </w:rPr>
        <w:t>….</w:t>
      </w:r>
      <w:bookmarkEnd w:id="23"/>
    </w:p>
    <w:p w14:paraId="21B6EC47" w14:textId="53D492C7" w:rsidR="00DF50A5" w:rsidRDefault="00B622B6" w:rsidP="00DF50A5">
      <w:pPr>
        <w:pStyle w:val="Nadpis3"/>
        <w:numPr>
          <w:ilvl w:val="0"/>
          <w:numId w:val="0"/>
        </w:numPr>
      </w:pPr>
      <w:r w:rsidRPr="00B622B6">
        <w:drawing>
          <wp:inline distT="0" distB="0" distL="0" distR="0" wp14:anchorId="7F50C5AD" wp14:editId="6AD9F9EA">
            <wp:extent cx="6480810" cy="4235450"/>
            <wp:effectExtent l="0" t="0" r="0" b="0"/>
            <wp:docPr id="1743675506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C91CE" w14:textId="59CF3CB3" w:rsidR="002C36D0" w:rsidRPr="004D0FAA" w:rsidRDefault="002C36D0" w:rsidP="004D0FAA">
      <w:pPr>
        <w:pStyle w:val="Nadpis3"/>
      </w:pPr>
      <w:r w:rsidRPr="004D0FAA">
        <w:t>Nedaňové příjmy</w:t>
      </w:r>
    </w:p>
    <w:p w14:paraId="58325AE2" w14:textId="245EEB44" w:rsidR="002C36D0" w:rsidRDefault="002C36D0" w:rsidP="002C36D0">
      <w:r w:rsidRPr="00D01576">
        <w:t>Relativně méně vý</w:t>
      </w:r>
      <w:r w:rsidR="009A2D83">
        <w:t>znamný</w:t>
      </w:r>
      <w:r w:rsidRPr="00D01576">
        <w:t xml:space="preserve"> podíl na objemu běžných, resp. celkových příjmů, mají příjmy nedaňové. V průměru sledovaného období dosahují </w:t>
      </w:r>
      <w:r w:rsidR="001E2303">
        <w:t>17,9 %</w:t>
      </w:r>
      <w:r w:rsidRPr="00D01576">
        <w:t xml:space="preserve"> příjmů běžných, resp. </w:t>
      </w:r>
      <w:r w:rsidR="001E2303">
        <w:t>17,3 %</w:t>
      </w:r>
      <w:r w:rsidRPr="00D01576">
        <w:t xml:space="preserve"> příjmů celkových. </w:t>
      </w:r>
      <w:r w:rsidR="007A24E0" w:rsidRPr="007A24E0">
        <w:t>Přehled nejdůležitějších položek v této kategorii příjmů j</w:t>
      </w:r>
      <w:r w:rsidR="003332C3">
        <w:t>e</w:t>
      </w:r>
      <w:r w:rsidR="007A24E0" w:rsidRPr="007A24E0">
        <w:t xml:space="preserve"> zachycen v následujícím grafickém vyjádření.</w:t>
      </w:r>
      <w:r w:rsidR="00842CE0">
        <w:tab/>
      </w:r>
    </w:p>
    <w:p w14:paraId="4703612B" w14:textId="3EA3DD82" w:rsidR="00466944" w:rsidRPr="00D01576" w:rsidRDefault="00466944" w:rsidP="00466944">
      <w:pPr>
        <w:pStyle w:val="Titul"/>
      </w:pPr>
      <w:bookmarkStart w:id="24" w:name="_Toc189776142"/>
      <w:bookmarkStart w:id="25" w:name="_Toc189777557"/>
      <w:bookmarkStart w:id="26" w:name="_Toc213758643"/>
      <w:r>
        <w:lastRenderedPageBreak/>
        <w:t>N</w:t>
      </w:r>
      <w:r w:rsidR="000C661C">
        <w:t>edaňové příjmy</w:t>
      </w:r>
      <w:bookmarkEnd w:id="24"/>
      <w:bookmarkEnd w:id="25"/>
      <w:bookmarkEnd w:id="26"/>
    </w:p>
    <w:p w14:paraId="39610C46" w14:textId="31C5598E" w:rsidR="006451E5" w:rsidRDefault="00B622B6" w:rsidP="00D02FA2">
      <w:r w:rsidRPr="00B622B6">
        <w:rPr>
          <w:noProof/>
        </w:rPr>
        <w:drawing>
          <wp:inline distT="0" distB="0" distL="0" distR="0" wp14:anchorId="76D43788" wp14:editId="4024828D">
            <wp:extent cx="6480810" cy="4235450"/>
            <wp:effectExtent l="0" t="0" r="0" b="0"/>
            <wp:docPr id="1831665964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242C7" w14:textId="27617A58" w:rsidR="002C36D0" w:rsidRPr="004D0FAA" w:rsidRDefault="002C36D0" w:rsidP="004D0FAA">
      <w:pPr>
        <w:pStyle w:val="Nadpis3"/>
      </w:pPr>
      <w:r w:rsidRPr="004D0FAA">
        <w:t>Kapitálové příjmy</w:t>
      </w:r>
    </w:p>
    <w:p w14:paraId="7208C6CC" w14:textId="7D7E7B20" w:rsidR="002C36D0" w:rsidRDefault="002C36D0" w:rsidP="002C36D0">
      <w:r w:rsidRPr="00731F2B">
        <w:t xml:space="preserve">Kapitálové příjmy se na celkových příjmech </w:t>
      </w:r>
      <w:r w:rsidRPr="000B21CC">
        <w:t>podílejí nejnižší částkou (v</w:t>
      </w:r>
      <w:r w:rsidRPr="00731F2B">
        <w:t xml:space="preserve"> průměru </w:t>
      </w:r>
      <w:r w:rsidR="001E2303">
        <w:t>1,4</w:t>
      </w:r>
      <w:r w:rsidRPr="00731F2B">
        <w:t xml:space="preserve"> mil. Kč) s vývojem, který je závislý na potřebách a možnostech města. V průměru sledovaného období dosahují </w:t>
      </w:r>
      <w:r w:rsidR="001E2303">
        <w:t>0,5 %</w:t>
      </w:r>
      <w:r w:rsidRPr="00731F2B">
        <w:t xml:space="preserve"> příjmů </w:t>
      </w:r>
      <w:r>
        <w:t>celkových</w:t>
      </w:r>
      <w:r w:rsidR="005E5C40">
        <w:t>.</w:t>
      </w:r>
    </w:p>
    <w:p w14:paraId="00F89382" w14:textId="5EA145AF" w:rsidR="00466944" w:rsidRDefault="00466944" w:rsidP="00466944">
      <w:pPr>
        <w:pStyle w:val="Titul"/>
      </w:pPr>
      <w:bookmarkStart w:id="27" w:name="_Toc189776143"/>
      <w:bookmarkStart w:id="28" w:name="_Toc189777558"/>
      <w:bookmarkStart w:id="29" w:name="_Toc213758644"/>
      <w:r w:rsidRPr="00466944">
        <w:t>K</w:t>
      </w:r>
      <w:r w:rsidR="000C661C">
        <w:t>apitálové příjmy</w:t>
      </w:r>
      <w:bookmarkEnd w:id="27"/>
      <w:bookmarkEnd w:id="28"/>
      <w:bookmarkEnd w:id="29"/>
    </w:p>
    <w:p w14:paraId="79EFD1A0" w14:textId="2ECCA71A" w:rsidR="006451E5" w:rsidRDefault="00B622B6" w:rsidP="00D02FA2">
      <w:r w:rsidRPr="00B622B6">
        <w:rPr>
          <w:noProof/>
        </w:rPr>
        <w:drawing>
          <wp:inline distT="0" distB="0" distL="0" distR="0" wp14:anchorId="21BDA63C" wp14:editId="5460BE1A">
            <wp:extent cx="6480810" cy="2386330"/>
            <wp:effectExtent l="0" t="0" r="0" b="0"/>
            <wp:docPr id="358969059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EC6E" w14:textId="045B2B1F" w:rsidR="002C36D0" w:rsidRPr="004D0FAA" w:rsidRDefault="002C36D0" w:rsidP="004D0FAA">
      <w:pPr>
        <w:pStyle w:val="Nadpis3"/>
      </w:pPr>
      <w:r w:rsidRPr="004D0FAA">
        <w:t>Přijaté transfery</w:t>
      </w:r>
    </w:p>
    <w:p w14:paraId="45478BDC" w14:textId="4A7289E5" w:rsidR="00444E77" w:rsidRDefault="00EF3600" w:rsidP="002C36D0">
      <w:r w:rsidRPr="00C73801">
        <w:t xml:space="preserve">Důležitou složkou příjmů jsou také transfery (dotace). </w:t>
      </w:r>
      <w:r w:rsidR="002C1E20">
        <w:t>N</w:t>
      </w:r>
      <w:r w:rsidR="002C1E20" w:rsidRPr="00C73801">
        <w:t>evýhodou</w:t>
      </w:r>
      <w:r w:rsidR="002C1E20">
        <w:t xml:space="preserve"> přijatých transferů</w:t>
      </w:r>
      <w:r w:rsidR="002C1E20" w:rsidRPr="00C73801">
        <w:t>, kromě položky „Neinvestiční přijaté transfery ze státního rozpočtu v rámci souhrnného dotačního vztahu“, je jejich nep</w:t>
      </w:r>
      <w:r w:rsidR="002C1E20">
        <w:t xml:space="preserve">ravidelnost a </w:t>
      </w:r>
      <w:proofErr w:type="spellStart"/>
      <w:r w:rsidR="002C1E20">
        <w:t>nenárokovatelnost</w:t>
      </w:r>
      <w:proofErr w:type="spellEnd"/>
      <w:r w:rsidR="002C1E20" w:rsidRPr="008D4254">
        <w:t xml:space="preserve">. </w:t>
      </w:r>
      <w:r w:rsidR="002C1E20" w:rsidRPr="00C73801">
        <w:t xml:space="preserve">Další jejich nevýhodou je jejich zúčtovatelnost – nespotřebované finanční prostředky se </w:t>
      </w:r>
      <w:r w:rsidR="002C1E20" w:rsidRPr="00C73801">
        <w:lastRenderedPageBreak/>
        <w:t>zpravidla vracejí poskytovateli dotace. Pro další vyhodnocování hospodaření a pro snazší sestavování střednědobého výhledu rozdělujeme transfery na neinvestiční a investiční.</w:t>
      </w:r>
      <w:r w:rsidR="002C1E20">
        <w:t xml:space="preserve"> </w:t>
      </w:r>
      <w:r w:rsidR="002C36D0" w:rsidRPr="00C73801">
        <w:t xml:space="preserve">Na celkovém objemu příjmů </w:t>
      </w:r>
      <w:r w:rsidR="008F69AC">
        <w:t xml:space="preserve">dosahují </w:t>
      </w:r>
      <w:r w:rsidR="008F69AC" w:rsidRPr="008F69AC">
        <w:t xml:space="preserve">ve sledovaném období </w:t>
      </w:r>
      <w:r>
        <w:t xml:space="preserve">Přijaté transfery </w:t>
      </w:r>
      <w:r w:rsidR="008F69AC" w:rsidRPr="008F69AC">
        <w:t xml:space="preserve">průměrně </w:t>
      </w:r>
      <w:r w:rsidR="001E2303">
        <w:t>17,1 %</w:t>
      </w:r>
      <w:r w:rsidR="002C36D0" w:rsidRPr="00C73801">
        <w:t xml:space="preserve"> příjmů běžných, resp. </w:t>
      </w:r>
      <w:r w:rsidR="001E2303">
        <w:t>19,3 %</w:t>
      </w:r>
      <w:r w:rsidR="005F2805">
        <w:t xml:space="preserve"> </w:t>
      </w:r>
      <w:r w:rsidR="002C36D0" w:rsidRPr="00C73801">
        <w:t>příjmů celkových.</w:t>
      </w:r>
    </w:p>
    <w:p w14:paraId="3A359CB0" w14:textId="78F9EDE0" w:rsidR="00DB034D" w:rsidRPr="007F2E51" w:rsidRDefault="00D62452" w:rsidP="00DB034D">
      <w:r>
        <w:t xml:space="preserve">Přehled o vývoji transferů je </w:t>
      </w:r>
      <w:r w:rsidR="001C152C">
        <w:t xml:space="preserve">obsahem </w:t>
      </w:r>
      <w:r w:rsidR="001C152C" w:rsidRPr="000B21CC">
        <w:t>následujícího zobrazení.</w:t>
      </w:r>
      <w:r w:rsidR="00DB034D" w:rsidRPr="000B21CC">
        <w:t xml:space="preserve"> Součástí neinvestičních transferů jsou také prostředky z hospodářské činnosti (položka 4131), které dosahují v průměru sledovaného období </w:t>
      </w:r>
      <w:r w:rsidR="001E2303" w:rsidRPr="000B21CC">
        <w:t>3,3</w:t>
      </w:r>
      <w:r w:rsidR="00DB034D" w:rsidRPr="000B21CC">
        <w:t xml:space="preserve"> mil. Kč.</w:t>
      </w:r>
    </w:p>
    <w:p w14:paraId="00B81B71" w14:textId="070EC2C3" w:rsidR="00466944" w:rsidRDefault="00466944" w:rsidP="00466944">
      <w:pPr>
        <w:pStyle w:val="Titul"/>
      </w:pPr>
      <w:bookmarkStart w:id="30" w:name="_Toc189776144"/>
      <w:bookmarkStart w:id="31" w:name="_Toc189777559"/>
      <w:bookmarkStart w:id="32" w:name="_Toc213758645"/>
      <w:r>
        <w:t>P</w:t>
      </w:r>
      <w:r w:rsidR="000C661C">
        <w:t>řijaté transfery</w:t>
      </w:r>
      <w:bookmarkEnd w:id="30"/>
      <w:bookmarkEnd w:id="31"/>
      <w:bookmarkEnd w:id="32"/>
    </w:p>
    <w:p w14:paraId="7EDD093B" w14:textId="39FBE829" w:rsidR="00466944" w:rsidRDefault="00B622B6" w:rsidP="002C36D0">
      <w:r w:rsidRPr="00B622B6">
        <w:rPr>
          <w:noProof/>
        </w:rPr>
        <w:drawing>
          <wp:inline distT="0" distB="0" distL="0" distR="0" wp14:anchorId="073DB312" wp14:editId="7B16AA9D">
            <wp:extent cx="6480810" cy="3307715"/>
            <wp:effectExtent l="0" t="0" r="0" b="6985"/>
            <wp:docPr id="561572091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0DD9A" w14:textId="77777777" w:rsidR="002C36D0" w:rsidRPr="008A4F0A" w:rsidRDefault="002C36D0" w:rsidP="002C36D0">
      <w:pPr>
        <w:pStyle w:val="Nadpis2"/>
      </w:pPr>
      <w:bookmarkStart w:id="33" w:name="_Toc213758988"/>
      <w:bookmarkStart w:id="34" w:name="_Toc62211717"/>
      <w:bookmarkEnd w:id="13"/>
      <w:r w:rsidRPr="008A4F0A">
        <w:t>Výdaje</w:t>
      </w:r>
      <w:bookmarkEnd w:id="33"/>
    </w:p>
    <w:p w14:paraId="05384AF3" w14:textId="13C81AB8" w:rsidR="008D732D" w:rsidRDefault="008D732D" w:rsidP="008D732D">
      <w:r w:rsidRPr="0018024A">
        <w:t xml:space="preserve">Běžné </w:t>
      </w:r>
      <w:r w:rsidRPr="000B21CC">
        <w:t>výdaje</w:t>
      </w:r>
      <w:r w:rsidR="000B21CC" w:rsidRPr="000B21CC">
        <w:t xml:space="preserve"> </w:t>
      </w:r>
      <w:r w:rsidRPr="000B21CC">
        <w:t>se meziročně zvyšují</w:t>
      </w:r>
      <w:r w:rsidR="0018024A" w:rsidRPr="000B21CC">
        <w:t xml:space="preserve"> (vyjma roku 202</w:t>
      </w:r>
      <w:r w:rsidR="000B21CC" w:rsidRPr="000B21CC">
        <w:t>4</w:t>
      </w:r>
      <w:r w:rsidR="0018024A" w:rsidRPr="000B21CC">
        <w:t>)</w:t>
      </w:r>
      <w:r w:rsidRPr="000B21CC">
        <w:t xml:space="preserve">, </w:t>
      </w:r>
      <w:r w:rsidR="0018024A" w:rsidRPr="000B21CC">
        <w:t>což je důsledek</w:t>
      </w:r>
      <w:r w:rsidR="00AB5E36" w:rsidRPr="000B21CC">
        <w:t xml:space="preserve"> zejména „legislativních“ změn a inflačních vlivů v ekonomice. Tyto vlivy se projevují </w:t>
      </w:r>
      <w:r w:rsidR="003332C3" w:rsidRPr="000B21CC">
        <w:t>především</w:t>
      </w:r>
      <w:r w:rsidR="00AB5E36" w:rsidRPr="000B21CC">
        <w:t xml:space="preserve"> v objemově výrazných položkách jako jsou</w:t>
      </w:r>
      <w:r w:rsidR="00DC33A5" w:rsidRPr="000B21CC">
        <w:t xml:space="preserve"> mzd</w:t>
      </w:r>
      <w:r w:rsidR="00AB5E36" w:rsidRPr="000B21CC">
        <w:t>y</w:t>
      </w:r>
      <w:r w:rsidR="00DC33A5" w:rsidRPr="000B21CC">
        <w:t xml:space="preserve"> zaměstnanců úřadu</w:t>
      </w:r>
      <w:r w:rsidR="00DC33A5" w:rsidRPr="00DC33A5">
        <w:t xml:space="preserve"> i příspěvkových organizací, neinvestiční nákup</w:t>
      </w:r>
      <w:r w:rsidR="00AB5E36">
        <w:t>y</w:t>
      </w:r>
      <w:r w:rsidR="00DC33A5" w:rsidRPr="00DC33A5">
        <w:t xml:space="preserve"> </w:t>
      </w:r>
      <w:r w:rsidR="00AB5E36">
        <w:t>nebo</w:t>
      </w:r>
      <w:r w:rsidR="00DC33A5" w:rsidRPr="00DC33A5">
        <w:t xml:space="preserve"> transfer</w:t>
      </w:r>
      <w:r w:rsidR="00AB5E36">
        <w:t>y</w:t>
      </w:r>
      <w:r w:rsidR="00DC33A5" w:rsidRPr="00DC33A5">
        <w:t xml:space="preserve"> veřejnoprávním subjektům</w:t>
      </w:r>
      <w:r w:rsidR="00B97929" w:rsidRPr="00B97929">
        <w:t>.</w:t>
      </w:r>
    </w:p>
    <w:p w14:paraId="7DFD2142" w14:textId="3812E278" w:rsidR="00D64E9D" w:rsidRDefault="009926B1" w:rsidP="00D64E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D5645A" wp14:editId="33FFBDF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479550" cy="1348105"/>
                <wp:effectExtent l="0" t="0" r="6350" b="4445"/>
                <wp:wrapSquare wrapText="bothSides"/>
                <wp:docPr id="8709850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348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32A5D" w14:textId="73825E1F" w:rsidR="009926B1" w:rsidRPr="002E0F71" w:rsidRDefault="009926B1" w:rsidP="00957F27">
                            <w:pPr>
                              <w:pStyle w:val="Citt"/>
                            </w:pPr>
                            <w:r w:rsidRPr="002E0F71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Za 5 let celkem město proinvestovalo </w:t>
                            </w:r>
                            <w:r w:rsidR="001E2303">
                              <w:t>427,9</w:t>
                            </w:r>
                            <w:r w:rsidRPr="002E0F71">
                              <w:t xml:space="preserve"> mil. Kč</w:t>
                            </w:r>
                          </w:p>
                          <w:p w14:paraId="1059F1AC" w14:textId="77777777" w:rsidR="009926B1" w:rsidRPr="002E0F71" w:rsidRDefault="009926B1" w:rsidP="009926B1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5645A" id="_x0000_s1028" type="#_x0000_t202" style="position:absolute;left:0;text-align:left;margin-left:65.3pt;margin-top:0;width:116.5pt;height:106.1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" stroked="f">
                <v:textbox>
                  <w:txbxContent>
                    <w:p w14:paraId="44432A5D" w14:textId="73825E1F" w:rsidR="009926B1" w:rsidRPr="002E0F71" w:rsidRDefault="009926B1" w:rsidP="00957F27">
                      <w:pPr>
                        <w:pStyle w:val="Citt"/>
                      </w:pPr>
                      <w:r w:rsidRPr="002E0F71">
                        <w:rPr>
                          <w:rStyle w:val="Odkaznakoment"/>
                          <w:sz w:val="22"/>
                          <w:szCs w:val="22"/>
                        </w:rPr>
                        <w:t xml:space="preserve">Za 5 let celkem město proinvestovalo </w:t>
                      </w:r>
                      <w:r w:rsidR="001E2303">
                        <w:t>427,9</w:t>
                      </w:r>
                      <w:r w:rsidRPr="002E0F71">
                        <w:t xml:space="preserve"> mil. Kč</w:t>
                      </w:r>
                    </w:p>
                    <w:p w14:paraId="1059F1AC" w14:textId="77777777" w:rsidR="009926B1" w:rsidRPr="002E0F71" w:rsidRDefault="009926B1" w:rsidP="009926B1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1F11" w:rsidRPr="0089263B">
        <w:t xml:space="preserve">Kapitálové výdaje mají oproti tomu charakter nahodilý a pohybují se v rozmezí od </w:t>
      </w:r>
      <w:r w:rsidR="001E2303">
        <w:t>23,9 %</w:t>
      </w:r>
      <w:r w:rsidR="00E21F11" w:rsidRPr="0089263B">
        <w:t xml:space="preserve"> až </w:t>
      </w:r>
      <w:r w:rsidR="001E2303">
        <w:t>42,6 %</w:t>
      </w:r>
      <w:r w:rsidR="00E21F11" w:rsidRPr="0089263B">
        <w:t xml:space="preserve"> celkových výdajů. Jejich výše se odvíjí od potřeb města a vypisovaných dotačních titulů a jsou reprezentovány zejména výdaji na budovy, haly a stavby (položka 6121). </w:t>
      </w:r>
      <w:r w:rsidR="00E21F11" w:rsidRPr="006541D4">
        <w:t xml:space="preserve">Například </w:t>
      </w:r>
      <w:r w:rsidR="006541D4" w:rsidRPr="006541D4">
        <w:t>v roce 2023 jsou nejvýznamnějším investičním výdajem výkupy nemovitostí vč. budovy Klobouk (26,2 mil. Kč)</w:t>
      </w:r>
      <w:r w:rsidR="00E21F11" w:rsidRPr="006541D4">
        <w:t>.</w:t>
      </w:r>
      <w:bookmarkStart w:id="35" w:name="_Toc428351153"/>
      <w:bookmarkStart w:id="36" w:name="_Toc428357448"/>
      <w:bookmarkStart w:id="37" w:name="_Toc55981684"/>
      <w:r w:rsidR="006541D4">
        <w:t xml:space="preserve"> </w:t>
      </w:r>
      <w:r w:rsidR="006541D4" w:rsidRPr="006541D4">
        <w:rPr>
          <w:sz w:val="20"/>
          <w:szCs w:val="20"/>
        </w:rPr>
        <w:t>V</w:t>
      </w:r>
      <w:r w:rsidR="006541D4">
        <w:rPr>
          <w:sz w:val="20"/>
          <w:szCs w:val="20"/>
        </w:rPr>
        <w:t> roce 2024</w:t>
      </w:r>
      <w:r w:rsidR="006541D4" w:rsidRPr="006541D4">
        <w:rPr>
          <w:sz w:val="20"/>
          <w:szCs w:val="20"/>
        </w:rPr>
        <w:t xml:space="preserve"> </w:t>
      </w:r>
      <w:r w:rsidR="006541D4">
        <w:rPr>
          <w:sz w:val="20"/>
          <w:szCs w:val="20"/>
        </w:rPr>
        <w:t>lze mezi významné investiční výdaje řadit výdaje na Mateřskou školu (33 mil. Kč) a ZŠ Komenského (odborné učebny a gastro – cca 60 mil. Kč).</w:t>
      </w:r>
    </w:p>
    <w:p w14:paraId="53759262" w14:textId="77777777" w:rsidR="00A34858" w:rsidRPr="00724EBF" w:rsidRDefault="00A34858" w:rsidP="00A34858">
      <w:pPr>
        <w:pStyle w:val="Tabulka"/>
      </w:pPr>
      <w:bookmarkStart w:id="38" w:name="_Toc213758601"/>
      <w:bookmarkEnd w:id="35"/>
      <w:bookmarkEnd w:id="36"/>
      <w:bookmarkEnd w:id="37"/>
      <w:r w:rsidRPr="00724EBF">
        <w:t>Rekapitulace výdajů</w:t>
      </w:r>
      <w:bookmarkEnd w:id="38"/>
    </w:p>
    <w:p w14:paraId="607D983C" w14:textId="2B2912CC" w:rsidR="00A34858" w:rsidRPr="00724EBF" w:rsidRDefault="00B622B6" w:rsidP="00A34858">
      <w:pPr>
        <w:pStyle w:val="Objekt"/>
      </w:pPr>
      <w:r w:rsidRPr="00B622B6">
        <w:rPr>
          <w:noProof/>
        </w:rPr>
        <w:drawing>
          <wp:inline distT="0" distB="0" distL="0" distR="0" wp14:anchorId="25088B78" wp14:editId="4C63C929">
            <wp:extent cx="5894070" cy="1493520"/>
            <wp:effectExtent l="0" t="0" r="0" b="0"/>
            <wp:docPr id="1365615230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AE87" w14:textId="77777777" w:rsidR="00BF2012" w:rsidRDefault="00BF2012" w:rsidP="00443D07">
      <w:pPr>
        <w:pStyle w:val="Objekt"/>
      </w:pPr>
    </w:p>
    <w:p w14:paraId="7BC0A179" w14:textId="0EEFA5B5" w:rsidR="00466944" w:rsidRDefault="00466944" w:rsidP="00E37C34">
      <w:pPr>
        <w:pStyle w:val="Titul"/>
      </w:pPr>
      <w:bookmarkStart w:id="39" w:name="_Toc189776145"/>
      <w:bookmarkStart w:id="40" w:name="_Toc189777560"/>
      <w:bookmarkStart w:id="41" w:name="_Toc213758646"/>
      <w:r>
        <w:lastRenderedPageBreak/>
        <w:t>C</w:t>
      </w:r>
      <w:r w:rsidR="000C661C">
        <w:t>elkové výdaje</w:t>
      </w:r>
      <w:bookmarkEnd w:id="39"/>
      <w:bookmarkEnd w:id="40"/>
      <w:bookmarkEnd w:id="41"/>
    </w:p>
    <w:p w14:paraId="57CB3FE8" w14:textId="4C1DC47B" w:rsidR="006451E5" w:rsidRDefault="00E37C34" w:rsidP="00386E43">
      <w:pPr>
        <w:pStyle w:val="Nadpis3"/>
        <w:numPr>
          <w:ilvl w:val="0"/>
          <w:numId w:val="0"/>
        </w:numPr>
        <w:spacing w:after="0"/>
        <w:ind w:left="720" w:hanging="720"/>
      </w:pPr>
      <w:r w:rsidRPr="00E37C34">
        <w:drawing>
          <wp:inline distT="0" distB="0" distL="0" distR="0" wp14:anchorId="33213961" wp14:editId="4926B593">
            <wp:extent cx="6480810" cy="26142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729B1" w14:textId="22EF7794" w:rsidR="002C36D0" w:rsidRPr="004D0FAA" w:rsidRDefault="002C36D0" w:rsidP="00386E43">
      <w:pPr>
        <w:pStyle w:val="Nadpis3"/>
        <w:spacing w:before="0" w:after="60"/>
      </w:pPr>
      <w:r w:rsidRPr="004D0FAA">
        <w:t>Běžné výdaje</w:t>
      </w:r>
    </w:p>
    <w:p w14:paraId="34E7900E" w14:textId="52A8D513" w:rsidR="00D64E9D" w:rsidRDefault="00812D5A" w:rsidP="00386E43">
      <w:pPr>
        <w:spacing w:before="60" w:after="60"/>
      </w:pPr>
      <w:r>
        <w:t>Běžné (provozní) výdaje a jejich využití ovlivňuje hospodaření, zejména jeho provozní část</w:t>
      </w:r>
      <w:r w:rsidR="00B82007">
        <w:t>i</w:t>
      </w:r>
      <w:r>
        <w:t>. Do jakých oblastí město směřuje provozní výdaje, vypovídá částečně o jeho prioritách. Výši provozních výdajů ovlivňuje velikost a případně náročnost (např. energetická) majetku, počet zaměstnanců a struktura poskytovaných služeb.</w:t>
      </w:r>
      <w:r w:rsidR="002C381E">
        <w:t xml:space="preserve"> </w:t>
      </w:r>
      <w:r w:rsidR="000A5C17" w:rsidRPr="000A5C17">
        <w:t>Detailnější pohled na vývoj provozních výdajů přináší následující grafická prezentace</w:t>
      </w:r>
      <w:r w:rsidR="000A5C17">
        <w:t>.</w:t>
      </w:r>
    </w:p>
    <w:p w14:paraId="574A4616" w14:textId="4FA4564A" w:rsidR="00466944" w:rsidRPr="00E37C34" w:rsidRDefault="00466944" w:rsidP="00E37C34">
      <w:pPr>
        <w:pStyle w:val="Titul"/>
      </w:pPr>
      <w:bookmarkStart w:id="42" w:name="_Toc189776146"/>
      <w:bookmarkStart w:id="43" w:name="_Toc189777561"/>
      <w:bookmarkStart w:id="44" w:name="_Toc213758647"/>
      <w:r>
        <w:t>B</w:t>
      </w:r>
      <w:r w:rsidR="000C661C">
        <w:t xml:space="preserve">ěžné </w:t>
      </w:r>
      <w:bookmarkEnd w:id="42"/>
      <w:bookmarkEnd w:id="43"/>
      <w:r w:rsidR="00386E43">
        <w:t>VÝdaje</w:t>
      </w:r>
      <w:bookmarkEnd w:id="44"/>
    </w:p>
    <w:p w14:paraId="05A443F5" w14:textId="7DDF4234" w:rsidR="00D0563A" w:rsidRDefault="00D0563A" w:rsidP="00D0563A">
      <w:pPr>
        <w:spacing w:after="0"/>
      </w:pPr>
      <w:r w:rsidRPr="00D0563A">
        <w:rPr>
          <w:noProof/>
        </w:rPr>
        <w:drawing>
          <wp:inline distT="0" distB="0" distL="0" distR="0" wp14:anchorId="7A2605D8" wp14:editId="47B5D820">
            <wp:extent cx="6480810" cy="43281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9D67C" w14:textId="08B43D67" w:rsidR="002C36D0" w:rsidRDefault="000B21CC" w:rsidP="002C36D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823F9D" wp14:editId="63750EEC">
                <wp:simplePos x="0" y="0"/>
                <wp:positionH relativeFrom="margin">
                  <wp:posOffset>4895215</wp:posOffset>
                </wp:positionH>
                <wp:positionV relativeFrom="paragraph">
                  <wp:posOffset>4445</wp:posOffset>
                </wp:positionV>
                <wp:extent cx="1479550" cy="1329690"/>
                <wp:effectExtent l="0" t="0" r="6350" b="3810"/>
                <wp:wrapSquare wrapText="bothSides"/>
                <wp:docPr id="66079759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72E67" w14:textId="2DAACA15" w:rsidR="009926B1" w:rsidRPr="00957F27" w:rsidRDefault="009926B1" w:rsidP="00957F27">
                            <w:pPr>
                              <w:pStyle w:val="Citt"/>
                              <w:rPr>
                                <w:rStyle w:val="Odkaznakoment"/>
                                <w:sz w:val="22"/>
                                <w:szCs w:val="22"/>
                              </w:rPr>
                            </w:pPr>
                            <w:r w:rsidRPr="00957F27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Nejvíce provozních výdajů směř</w:t>
                            </w:r>
                            <w:r w:rsidR="0057548D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uje</w:t>
                            </w:r>
                            <w:r w:rsidRPr="00957F27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do Služeb pro obyvatelstvo – </w:t>
                            </w:r>
                            <w:r w:rsidR="001E2303">
                              <w:t>46,1 %</w:t>
                            </w:r>
                            <w:r w:rsidRPr="00957F27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a Všeobecné veřejné správy </w:t>
                            </w:r>
                            <w:r w:rsidR="001E2303">
                              <w:t>48,1 %</w:t>
                            </w:r>
                          </w:p>
                          <w:p w14:paraId="22EB050A" w14:textId="77777777" w:rsidR="009926B1" w:rsidRPr="00957F27" w:rsidRDefault="009926B1" w:rsidP="009926B1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23F9D" id="_x0000_s1029" type="#_x0000_t202" style="position:absolute;left:0;text-align:left;margin-left:385.45pt;margin-top:.35pt;width:116.5pt;height:104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" stroked="f">
                <v:textbox>
                  <w:txbxContent>
                    <w:p w14:paraId="24572E67" w14:textId="2DAACA15" w:rsidR="009926B1" w:rsidRPr="00957F27" w:rsidRDefault="009926B1" w:rsidP="00957F27">
                      <w:pPr>
                        <w:pStyle w:val="Citt"/>
                        <w:rPr>
                          <w:rStyle w:val="Odkaznakoment"/>
                          <w:sz w:val="22"/>
                          <w:szCs w:val="22"/>
                        </w:rPr>
                      </w:pPr>
                      <w:r w:rsidRPr="00957F27">
                        <w:rPr>
                          <w:rStyle w:val="Odkaznakoment"/>
                          <w:sz w:val="22"/>
                          <w:szCs w:val="22"/>
                        </w:rPr>
                        <w:t>Nejvíce provozních výdajů směř</w:t>
                      </w:r>
                      <w:r w:rsidR="0057548D">
                        <w:rPr>
                          <w:rStyle w:val="Odkaznakoment"/>
                          <w:sz w:val="22"/>
                          <w:szCs w:val="22"/>
                        </w:rPr>
                        <w:t>uje</w:t>
                      </w:r>
                      <w:r w:rsidRPr="00957F27">
                        <w:rPr>
                          <w:rStyle w:val="Odkaznakoment"/>
                          <w:sz w:val="22"/>
                          <w:szCs w:val="22"/>
                        </w:rPr>
                        <w:t xml:space="preserve"> do Služeb pro obyvatelstvo – </w:t>
                      </w:r>
                      <w:r w:rsidR="001E2303">
                        <w:t>46,1 %</w:t>
                      </w:r>
                      <w:r w:rsidRPr="00957F27">
                        <w:rPr>
                          <w:rStyle w:val="Odkaznakoment"/>
                          <w:sz w:val="22"/>
                          <w:szCs w:val="22"/>
                        </w:rPr>
                        <w:t xml:space="preserve"> a Všeobecné veřejné správy </w:t>
                      </w:r>
                      <w:r w:rsidR="001E2303">
                        <w:t>48,1 %</w:t>
                      </w:r>
                    </w:p>
                    <w:p w14:paraId="22EB050A" w14:textId="77777777" w:rsidR="009926B1" w:rsidRPr="00957F27" w:rsidRDefault="009926B1" w:rsidP="009926B1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6D95" w:rsidRPr="00366D95">
        <w:t>V rámci výdajových položek patří mezi odvětvově nejrozmanitější položky</w:t>
      </w:r>
      <w:r w:rsidR="00366D95" w:rsidRPr="00366D95">
        <w:rPr>
          <w:i/>
        </w:rPr>
        <w:t xml:space="preserve"> </w:t>
      </w:r>
      <w:r w:rsidR="00366D95" w:rsidRPr="00366D95">
        <w:t xml:space="preserve">ostatní služby a opravy. </w:t>
      </w:r>
      <w:r w:rsidR="002C36D0" w:rsidRPr="00366D95">
        <w:t>U ostatních služeb je objem dán zejména výdaji na</w:t>
      </w:r>
      <w:r w:rsidR="00FD52E0">
        <w:t xml:space="preserve"> paragrafu</w:t>
      </w:r>
      <w:r w:rsidR="002C36D0" w:rsidRPr="00366D95">
        <w:t xml:space="preserve"> </w:t>
      </w:r>
      <w:r w:rsidR="001E2303">
        <w:t>Sběr a svoz komunálních odpadů</w:t>
      </w:r>
      <w:r w:rsidR="002C36D0" w:rsidRPr="00F817D2">
        <w:t xml:space="preserve"> (v průměru </w:t>
      </w:r>
      <w:r w:rsidR="001E2303">
        <w:t>7,3</w:t>
      </w:r>
      <w:r w:rsidR="002C36D0" w:rsidRPr="00F817D2">
        <w:t xml:space="preserve"> mil. Kč), </w:t>
      </w:r>
      <w:r w:rsidR="001E2303">
        <w:t>Činnost místní správy</w:t>
      </w:r>
      <w:r w:rsidR="002C36D0" w:rsidRPr="00F817D2">
        <w:t xml:space="preserve"> (</w:t>
      </w:r>
      <w:r w:rsidR="00F817D2" w:rsidRPr="00F817D2">
        <w:t xml:space="preserve">v průměru </w:t>
      </w:r>
      <w:r w:rsidR="001E2303">
        <w:t>4,4</w:t>
      </w:r>
      <w:r w:rsidR="002C36D0" w:rsidRPr="00F817D2">
        <w:t xml:space="preserve"> mil. Kč) a </w:t>
      </w:r>
      <w:r w:rsidR="001E2303">
        <w:t>Zachování a obnova kulturních památek</w:t>
      </w:r>
      <w:r w:rsidR="002C36D0" w:rsidRPr="00F817D2">
        <w:t xml:space="preserve"> (</w:t>
      </w:r>
      <w:r w:rsidR="00F817D2" w:rsidRPr="00F817D2">
        <w:t xml:space="preserve">v průměru </w:t>
      </w:r>
      <w:r w:rsidR="001E2303">
        <w:t>2,3</w:t>
      </w:r>
      <w:r w:rsidR="00F817D2" w:rsidRPr="00F817D2">
        <w:t xml:space="preserve"> </w:t>
      </w:r>
      <w:r w:rsidR="002C36D0" w:rsidRPr="00F817D2">
        <w:t xml:space="preserve">mil. Kč). U oprav </w:t>
      </w:r>
      <w:r w:rsidR="00F817D2" w:rsidRPr="00F817D2">
        <w:t xml:space="preserve">a udržování </w:t>
      </w:r>
      <w:r w:rsidR="002C36D0" w:rsidRPr="00F817D2">
        <w:t xml:space="preserve">směřovaly finanční prostředky </w:t>
      </w:r>
      <w:r w:rsidR="00F817D2" w:rsidRPr="0018024A">
        <w:t xml:space="preserve">zejména </w:t>
      </w:r>
      <w:r w:rsidR="002C36D0" w:rsidRPr="0018024A">
        <w:rPr>
          <w:rFonts w:cstheme="minorHAnsi"/>
        </w:rPr>
        <w:t>do</w:t>
      </w:r>
      <w:r w:rsidR="00FB1474" w:rsidRPr="0018024A">
        <w:rPr>
          <w:rFonts w:cstheme="minorHAnsi"/>
        </w:rPr>
        <w:t xml:space="preserve"> paragrafu</w:t>
      </w:r>
      <w:r w:rsidR="002C36D0" w:rsidRPr="0018024A">
        <w:rPr>
          <w:rFonts w:cstheme="minorHAnsi"/>
        </w:rPr>
        <w:t xml:space="preserve"> </w:t>
      </w:r>
      <w:r w:rsidR="001E2303" w:rsidRPr="001E2303">
        <w:t>Silnice</w:t>
      </w:r>
      <w:r w:rsidR="002C36D0" w:rsidRPr="0018024A">
        <w:t xml:space="preserve"> </w:t>
      </w:r>
      <w:r w:rsidR="00F817D2" w:rsidRPr="0018024A">
        <w:t>(</w:t>
      </w:r>
      <w:r w:rsidR="00F817D2" w:rsidRPr="0018024A">
        <w:rPr>
          <w:rFonts w:cstheme="minorHAnsi"/>
        </w:rPr>
        <w:t>v</w:t>
      </w:r>
      <w:r w:rsidR="00F817D2" w:rsidRPr="0018024A">
        <w:t xml:space="preserve"> průměru </w:t>
      </w:r>
      <w:r w:rsidR="001E2303">
        <w:t>2,0</w:t>
      </w:r>
      <w:r w:rsidR="00F817D2" w:rsidRPr="0018024A">
        <w:t xml:space="preserve"> mil. Kč),</w:t>
      </w:r>
      <w:r w:rsidR="002C36D0" w:rsidRPr="0018024A">
        <w:t xml:space="preserve"> </w:t>
      </w:r>
      <w:r w:rsidR="001E2303">
        <w:t>Nebytové hospodářství</w:t>
      </w:r>
      <w:r w:rsidR="00F817D2" w:rsidRPr="0018024A">
        <w:t xml:space="preserve"> (</w:t>
      </w:r>
      <w:r w:rsidR="00F817D2" w:rsidRPr="00F817D2">
        <w:t xml:space="preserve">v průměru </w:t>
      </w:r>
      <w:r w:rsidR="001E2303">
        <w:t>1,6</w:t>
      </w:r>
      <w:r w:rsidR="00F817D2" w:rsidRPr="00F817D2">
        <w:t xml:space="preserve"> mil. Kč) a </w:t>
      </w:r>
      <w:r w:rsidR="001E2303">
        <w:t>Bytové hospodářství</w:t>
      </w:r>
      <w:r w:rsidR="00F817D2" w:rsidRPr="00F817D2">
        <w:t xml:space="preserve"> (v průměru </w:t>
      </w:r>
      <w:r w:rsidR="001E2303">
        <w:t>1,5</w:t>
      </w:r>
      <w:r w:rsidR="00F817D2" w:rsidRPr="00F817D2">
        <w:t xml:space="preserve"> mil. Kč).</w:t>
      </w:r>
    </w:p>
    <w:p w14:paraId="457B3DFA" w14:textId="77777777" w:rsidR="000B21CC" w:rsidRPr="007F7EE4" w:rsidRDefault="000B21CC" w:rsidP="000B21CC">
      <w:pPr>
        <w:pStyle w:val="Graf0"/>
      </w:pPr>
      <w:bookmarkStart w:id="45" w:name="_Toc428351152"/>
      <w:bookmarkStart w:id="46" w:name="_Toc428357447"/>
      <w:bookmarkStart w:id="47" w:name="_Toc55981683"/>
      <w:bookmarkStart w:id="48" w:name="_Toc213758619"/>
      <w:r>
        <w:t>Členění</w:t>
      </w:r>
      <w:r w:rsidRPr="007F7EE4">
        <w:t xml:space="preserve"> </w:t>
      </w:r>
      <w:bookmarkEnd w:id="45"/>
      <w:bookmarkEnd w:id="46"/>
      <w:bookmarkEnd w:id="47"/>
      <w:r w:rsidRPr="007F7EE4">
        <w:t>běžných výdajů</w:t>
      </w:r>
      <w:bookmarkEnd w:id="48"/>
    </w:p>
    <w:p w14:paraId="24057D1C" w14:textId="77777777" w:rsidR="000B21CC" w:rsidRDefault="000B21CC" w:rsidP="000B21CC">
      <w:pPr>
        <w:pStyle w:val="Objekt"/>
      </w:pPr>
      <w:r w:rsidRPr="00B622B6">
        <w:rPr>
          <w:noProof/>
        </w:rPr>
        <w:drawing>
          <wp:inline distT="0" distB="0" distL="0" distR="0" wp14:anchorId="019D541F" wp14:editId="0BB0DE8A">
            <wp:extent cx="6480810" cy="1895475"/>
            <wp:effectExtent l="0" t="0" r="0" b="0"/>
            <wp:docPr id="2127720402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ED32" w14:textId="77777777" w:rsidR="000B21CC" w:rsidRPr="00E36B5A" w:rsidRDefault="000B21CC" w:rsidP="002C36D0"/>
    <w:p w14:paraId="41660E9D" w14:textId="6BCEF250" w:rsidR="002C36D0" w:rsidRPr="004D0FAA" w:rsidRDefault="002C36D0" w:rsidP="004D0FAA">
      <w:pPr>
        <w:pStyle w:val="Nadpis3"/>
      </w:pPr>
      <w:r w:rsidRPr="004D0FAA">
        <w:t>Kapitálové výdaje</w:t>
      </w:r>
    </w:p>
    <w:p w14:paraId="034B8663" w14:textId="74876390" w:rsidR="002C36D0" w:rsidRDefault="006B1A4F" w:rsidP="002C36D0">
      <w:r w:rsidRPr="000B21CC">
        <w:t xml:space="preserve">Investiční aktivita má </w:t>
      </w:r>
      <w:r w:rsidR="0046059F" w:rsidRPr="000B21CC">
        <w:t>nerovnoměrný</w:t>
      </w:r>
      <w:r w:rsidRPr="000B21CC">
        <w:t xml:space="preserve"> vývoj s vrcholem v roce </w:t>
      </w:r>
      <w:r w:rsidR="001E2303" w:rsidRPr="000B21CC">
        <w:t>2024</w:t>
      </w:r>
      <w:r w:rsidR="003A5D4E" w:rsidRPr="000B21CC">
        <w:t xml:space="preserve">, kdy město </w:t>
      </w:r>
      <w:r w:rsidR="002C36D0" w:rsidRPr="000B21CC">
        <w:t xml:space="preserve">proinvestovalo částku </w:t>
      </w:r>
      <w:r w:rsidR="005F20AA" w:rsidRPr="000B21CC">
        <w:t>(</w:t>
      </w:r>
      <w:r w:rsidR="001E2303" w:rsidRPr="000B21CC">
        <w:t>134,9</w:t>
      </w:r>
      <w:r w:rsidR="002C36D0" w:rsidRPr="000B21CC">
        <w:t xml:space="preserve"> mil. Kč</w:t>
      </w:r>
      <w:r w:rsidR="005F20AA" w:rsidRPr="000B21CC">
        <w:t>)</w:t>
      </w:r>
      <w:r w:rsidR="002C36D0" w:rsidRPr="000B21CC">
        <w:t>. Město využívá dotací, které ve sledovaném období po</w:t>
      </w:r>
      <w:r w:rsidR="005F20AA" w:rsidRPr="000B21CC">
        <w:t>kryly</w:t>
      </w:r>
      <w:r w:rsidR="002C36D0" w:rsidRPr="000B21CC">
        <w:t xml:space="preserve"> v rozmezí od </w:t>
      </w:r>
      <w:r w:rsidR="001E2303" w:rsidRPr="000B21CC">
        <w:t>0,0 %</w:t>
      </w:r>
      <w:r w:rsidR="002C36D0" w:rsidRPr="000B21CC">
        <w:t xml:space="preserve"> (</w:t>
      </w:r>
      <w:r w:rsidR="001E2303" w:rsidRPr="000B21CC">
        <w:t>2023</w:t>
      </w:r>
      <w:r w:rsidR="002C36D0" w:rsidRPr="000B21CC">
        <w:t xml:space="preserve">) do </w:t>
      </w:r>
      <w:r w:rsidR="001E2303" w:rsidRPr="000B21CC">
        <w:t>63,3 %</w:t>
      </w:r>
      <w:r w:rsidR="002C36D0" w:rsidRPr="000B21CC">
        <w:t xml:space="preserve"> (</w:t>
      </w:r>
      <w:r w:rsidR="001E2303" w:rsidRPr="000B21CC">
        <w:t>2020</w:t>
      </w:r>
      <w:r w:rsidR="002C36D0" w:rsidRPr="000B21CC">
        <w:t>)</w:t>
      </w:r>
      <w:r w:rsidR="005F20AA" w:rsidRPr="000B21CC">
        <w:t xml:space="preserve"> kapitálových výdajů</w:t>
      </w:r>
      <w:r w:rsidR="002C36D0" w:rsidRPr="000B21CC">
        <w:t>. Z této skutečnosti plyne, že se město snaží využívat vyhlašované dotační tituly</w:t>
      </w:r>
      <w:r w:rsidR="00971D0F">
        <w:t>,</w:t>
      </w:r>
      <w:r w:rsidR="002C36D0" w:rsidRPr="000B21CC">
        <w:t xml:space="preserve"> </w:t>
      </w:r>
      <w:r w:rsidR="007818D1" w:rsidRPr="000B21CC">
        <w:t>přestože</w:t>
      </w:r>
      <w:r w:rsidR="0018024A" w:rsidRPr="000B21CC">
        <w:t xml:space="preserve"> </w:t>
      </w:r>
      <w:r w:rsidR="000B21CC" w:rsidRPr="000B21CC">
        <w:t>je tato aktivita</w:t>
      </w:r>
      <w:r w:rsidR="007818D1" w:rsidRPr="000B21CC">
        <w:t xml:space="preserve"> značně odvislá od charakteru investic a dostupných</w:t>
      </w:r>
      <w:r w:rsidR="007818D1" w:rsidRPr="0018024A">
        <w:t xml:space="preserve"> dotačních příležitostí.</w:t>
      </w:r>
    </w:p>
    <w:p w14:paraId="68732530" w14:textId="2B3C9AAB" w:rsidR="00D64E9D" w:rsidRDefault="00466944" w:rsidP="00B15969">
      <w:pPr>
        <w:pStyle w:val="Titul"/>
      </w:pPr>
      <w:bookmarkStart w:id="49" w:name="_Toc189776147"/>
      <w:bookmarkStart w:id="50" w:name="_Toc189777562"/>
      <w:bookmarkStart w:id="51" w:name="_Toc213758648"/>
      <w:r>
        <w:t>K</w:t>
      </w:r>
      <w:r w:rsidR="000C661C">
        <w:t>apitálové výdaje</w:t>
      </w:r>
      <w:bookmarkEnd w:id="49"/>
      <w:bookmarkEnd w:id="50"/>
      <w:bookmarkEnd w:id="51"/>
    </w:p>
    <w:p w14:paraId="56E46D03" w14:textId="4DFC4625" w:rsidR="006451E5" w:rsidRDefault="00B15969" w:rsidP="006451E5">
      <w:r w:rsidRPr="00B15969">
        <w:rPr>
          <w:noProof/>
        </w:rPr>
        <w:drawing>
          <wp:inline distT="0" distB="0" distL="0" distR="0" wp14:anchorId="6CB336ED" wp14:editId="31F1B1F2">
            <wp:extent cx="6480810" cy="3042920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817E6" w14:textId="27E13A43" w:rsidR="005F10B2" w:rsidRDefault="005F10B2" w:rsidP="005F10B2">
      <w:r w:rsidRPr="00DA1105">
        <w:t xml:space="preserve">Vlastní investiční výdaje jsou kromě investičních transferů kryty částečně i prodejem majetku a ostatními zdroji. V případě </w:t>
      </w:r>
      <w:r>
        <w:t xml:space="preserve">města </w:t>
      </w:r>
      <w:r w:rsidR="001E2303">
        <w:t>Slavkov u Brna</w:t>
      </w:r>
      <w:r w:rsidRPr="00DA1105">
        <w:t xml:space="preserve"> ostatní zdroje tvoří finanční prostředky z uplynulých let a provozní přebytek (saldo provozního rozpočtu) aktuálního roku. </w:t>
      </w:r>
      <w:r w:rsidRPr="000B21CC">
        <w:t xml:space="preserve">Prodej majetku tvoří nejmenší část na pokrytí kapitálových výdajů </w:t>
      </w:r>
      <w:r w:rsidRPr="000B21CC">
        <w:lastRenderedPageBreak/>
        <w:t>(</w:t>
      </w:r>
      <w:r w:rsidR="001E2303" w:rsidRPr="000B21CC">
        <w:t>7,1</w:t>
      </w:r>
      <w:r w:rsidRPr="000B21CC">
        <w:t xml:space="preserve"> mil. Kč za uplynulých 5 let, což průměrně za rok činí jen</w:t>
      </w:r>
      <w:r w:rsidRPr="00DA1105">
        <w:t xml:space="preserve"> </w:t>
      </w:r>
      <w:r w:rsidR="001E2303">
        <w:t>1,7 %</w:t>
      </w:r>
      <w:r w:rsidRPr="00DA1105">
        <w:t xml:space="preserve"> vynalo</w:t>
      </w:r>
      <w:r>
        <w:t>žených prostředků na investice), i</w:t>
      </w:r>
      <w:r w:rsidRPr="00DA1105">
        <w:t>nvestiční transfery</w:t>
      </w:r>
      <w:r>
        <w:t xml:space="preserve"> tvoří</w:t>
      </w:r>
      <w:r w:rsidRPr="00DA1105">
        <w:t xml:space="preserve"> </w:t>
      </w:r>
      <w:r w:rsidR="001E2303">
        <w:t>9,2 %</w:t>
      </w:r>
      <w:r w:rsidRPr="00DA1105">
        <w:t xml:space="preserve"> celkových finančních prostředků na krytí investic</w:t>
      </w:r>
      <w:r>
        <w:t xml:space="preserve"> a z</w:t>
      </w:r>
      <w:r w:rsidRPr="00DA1105">
        <w:t xml:space="preserve">bývajících </w:t>
      </w:r>
      <w:r w:rsidR="001E2303">
        <w:t>89,1 %</w:t>
      </w:r>
      <w:r w:rsidRPr="00DA1105">
        <w:t xml:space="preserve"> tvoří ostatní zdroje.</w:t>
      </w:r>
    </w:p>
    <w:p w14:paraId="036F4648" w14:textId="55437099" w:rsidR="002C36D0" w:rsidRPr="007F7EE4" w:rsidRDefault="002C36D0" w:rsidP="007F7EE4">
      <w:pPr>
        <w:pStyle w:val="Graf0"/>
      </w:pPr>
      <w:bookmarkStart w:id="52" w:name="_Toc213758620"/>
      <w:r w:rsidRPr="007F7EE4">
        <w:t>Krytí kapitálových výdajů investičními příjmy</w:t>
      </w:r>
      <w:bookmarkEnd w:id="52"/>
    </w:p>
    <w:p w14:paraId="5EE7E21E" w14:textId="2602DE17" w:rsidR="002C36D0" w:rsidRPr="007F609C" w:rsidRDefault="00B622B6" w:rsidP="00A2717D">
      <w:pPr>
        <w:pStyle w:val="Objekt"/>
      </w:pPr>
      <w:r w:rsidRPr="00B622B6">
        <w:rPr>
          <w:noProof/>
        </w:rPr>
        <w:drawing>
          <wp:inline distT="0" distB="0" distL="0" distR="0" wp14:anchorId="1B38CB50" wp14:editId="0928952E">
            <wp:extent cx="6480810" cy="1919605"/>
            <wp:effectExtent l="0" t="0" r="0" b="0"/>
            <wp:docPr id="1407872032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7070" w14:textId="33DDC060" w:rsidR="005F10B2" w:rsidRDefault="00977F68" w:rsidP="005F10B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8FA8A5A" wp14:editId="11F17485">
                <wp:simplePos x="0" y="0"/>
                <wp:positionH relativeFrom="margin">
                  <wp:posOffset>4760595</wp:posOffset>
                </wp:positionH>
                <wp:positionV relativeFrom="paragraph">
                  <wp:posOffset>59690</wp:posOffset>
                </wp:positionV>
                <wp:extent cx="1479550" cy="1410970"/>
                <wp:effectExtent l="0" t="0" r="6350" b="0"/>
                <wp:wrapSquare wrapText="bothSides"/>
                <wp:docPr id="9326063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3EC73" w14:textId="090373FE" w:rsidR="00FC4CA4" w:rsidRPr="00FC4CA4" w:rsidRDefault="00FC4CA4" w:rsidP="00957F27">
                            <w:pPr>
                              <w:pStyle w:val="Citt"/>
                            </w:pPr>
                            <w:r w:rsidRPr="00FC4CA4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Podíl investiční transferů na krytí kapitálových výdajů je</w:t>
                            </w:r>
                            <w:r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v</w:t>
                            </w:r>
                            <w:r w:rsidR="00BC48E4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průměru</w:t>
                            </w:r>
                            <w:r w:rsidR="00BC48E4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sledovaného období</w:t>
                            </w:r>
                            <w:r w:rsidRPr="00FC4CA4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 </w:t>
                            </w:r>
                            <w:r w:rsidR="001E2303">
                              <w:t>9,2 %</w:t>
                            </w:r>
                          </w:p>
                          <w:p w14:paraId="68C91586" w14:textId="77777777" w:rsidR="00FC4CA4" w:rsidRPr="00FC4CA4" w:rsidRDefault="00FC4CA4" w:rsidP="00FC4CA4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A8A5A" id="_x0000_s1030" type="#_x0000_t202" style="position:absolute;left:0;text-align:left;margin-left:374.85pt;margin-top:4.7pt;width:116.5pt;height:111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" stroked="f">
                <v:textbox>
                  <w:txbxContent>
                    <w:p w14:paraId="32B3EC73" w14:textId="090373FE" w:rsidR="00FC4CA4" w:rsidRPr="00FC4CA4" w:rsidRDefault="00FC4CA4" w:rsidP="00957F27">
                      <w:pPr>
                        <w:pStyle w:val="Citt"/>
                      </w:pPr>
                      <w:r w:rsidRPr="00FC4CA4">
                        <w:rPr>
                          <w:rStyle w:val="Odkaznakoment"/>
                          <w:sz w:val="22"/>
                          <w:szCs w:val="22"/>
                        </w:rPr>
                        <w:t>Podíl investiční transferů na krytí kapitálových výdajů je</w:t>
                      </w:r>
                      <w:r>
                        <w:rPr>
                          <w:rStyle w:val="Odkaznakoment"/>
                          <w:sz w:val="22"/>
                          <w:szCs w:val="22"/>
                        </w:rPr>
                        <w:t xml:space="preserve"> v</w:t>
                      </w:r>
                      <w:r w:rsidR="00BC48E4">
                        <w:rPr>
                          <w:rStyle w:val="Odkaznakoment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Style w:val="Odkaznakoment"/>
                          <w:sz w:val="22"/>
                          <w:szCs w:val="22"/>
                        </w:rPr>
                        <w:t>průměru</w:t>
                      </w:r>
                      <w:r w:rsidR="00BC48E4">
                        <w:rPr>
                          <w:rStyle w:val="Odkaznakoment"/>
                          <w:sz w:val="22"/>
                          <w:szCs w:val="22"/>
                        </w:rPr>
                        <w:t xml:space="preserve"> sledovaného období</w:t>
                      </w:r>
                      <w:r w:rsidRPr="00FC4CA4">
                        <w:rPr>
                          <w:rStyle w:val="Odkaznakoment"/>
                          <w:sz w:val="22"/>
                          <w:szCs w:val="22"/>
                        </w:rPr>
                        <w:t> </w:t>
                      </w:r>
                      <w:r w:rsidR="001E2303">
                        <w:t>9,2 %</w:t>
                      </w:r>
                    </w:p>
                    <w:p w14:paraId="68C91586" w14:textId="77777777" w:rsidR="00FC4CA4" w:rsidRPr="00FC4CA4" w:rsidRDefault="00FC4CA4" w:rsidP="00FC4CA4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Důležitou roli v </w:t>
      </w:r>
      <w:r w:rsidR="005F10B2" w:rsidRPr="008A4F0A">
        <w:t>rozvoj</w:t>
      </w:r>
      <w:r>
        <w:t>i</w:t>
      </w:r>
      <w:r w:rsidR="005F10B2" w:rsidRPr="008A4F0A">
        <w:t xml:space="preserve"> města </w:t>
      </w:r>
      <w:r>
        <w:t xml:space="preserve">mají </w:t>
      </w:r>
      <w:r w:rsidR="005F10B2" w:rsidRPr="008A4F0A">
        <w:t xml:space="preserve">dotace investiční, jejichž maxima dosáhlo město v roce </w:t>
      </w:r>
      <w:r w:rsidR="001E2303">
        <w:t>2020</w:t>
      </w:r>
      <w:r w:rsidR="005F10B2" w:rsidRPr="008A4F0A">
        <w:t xml:space="preserve"> (</w:t>
      </w:r>
      <w:r w:rsidR="001E2303">
        <w:t>31,5</w:t>
      </w:r>
      <w:r w:rsidR="005F10B2" w:rsidRPr="008A4F0A">
        <w:t xml:space="preserve"> mil. Kč). Investiční aktivita města v letech </w:t>
      </w:r>
      <w:r w:rsidR="001E2303">
        <w:t>2020-2024</w:t>
      </w:r>
      <w:r w:rsidR="005F10B2" w:rsidRPr="008A4F0A">
        <w:t xml:space="preserve"> je vyjádřena částkou </w:t>
      </w:r>
      <w:r w:rsidR="001E2303">
        <w:t>427,9</w:t>
      </w:r>
      <w:r w:rsidR="005F10B2" w:rsidRPr="008A4F0A">
        <w:t xml:space="preserve"> mil. Kč, z toho </w:t>
      </w:r>
      <w:r w:rsidR="001E2303">
        <w:t>39,3</w:t>
      </w:r>
      <w:r w:rsidR="005F10B2" w:rsidRPr="008A4F0A">
        <w:t xml:space="preserve"> mil. Kč bylo hrazeno </w:t>
      </w:r>
      <w:r>
        <w:t xml:space="preserve">právě </w:t>
      </w:r>
      <w:r w:rsidR="005F10B2" w:rsidRPr="008A4F0A">
        <w:t xml:space="preserve">z dotací (tj. </w:t>
      </w:r>
      <w:r w:rsidR="001E2303">
        <w:t>9,2 %</w:t>
      </w:r>
      <w:r w:rsidR="005F10B2" w:rsidRPr="008A4F0A">
        <w:t xml:space="preserve">). Výše investičních výdajů kulminovala v roce </w:t>
      </w:r>
      <w:r w:rsidR="001E2303">
        <w:t>2024</w:t>
      </w:r>
      <w:r w:rsidR="005F10B2" w:rsidRPr="008A4F0A">
        <w:t xml:space="preserve">, kdy město proinvestovalo </w:t>
      </w:r>
      <w:r w:rsidR="001E2303">
        <w:t>134,9</w:t>
      </w:r>
      <w:r w:rsidR="005F10B2" w:rsidRPr="008A4F0A">
        <w:t xml:space="preserve"> mil. Kč (</w:t>
      </w:r>
      <w:r w:rsidR="001E2303">
        <w:t>0,8 %</w:t>
      </w:r>
      <w:r w:rsidR="005F10B2">
        <w:t xml:space="preserve"> </w:t>
      </w:r>
      <w:r w:rsidR="005F10B2" w:rsidRPr="008A4F0A">
        <w:t>nákladů pokryly investiční dotace).</w:t>
      </w:r>
      <w:r w:rsidR="005F10B2">
        <w:t xml:space="preserve"> </w:t>
      </w:r>
      <w:r w:rsidR="005F10B2" w:rsidRPr="002F187B">
        <w:t xml:space="preserve">Naopak v roce </w:t>
      </w:r>
      <w:r w:rsidR="001E2303">
        <w:t>2023</w:t>
      </w:r>
      <w:r w:rsidR="005F10B2" w:rsidRPr="002F187B">
        <w:t xml:space="preserve"> byly investiční transfery </w:t>
      </w:r>
      <w:r w:rsidR="005F10B2" w:rsidRPr="00971D0F">
        <w:t>nulové</w:t>
      </w:r>
      <w:r w:rsidR="005F10B2" w:rsidRPr="002F187B">
        <w:t xml:space="preserve">, přičemž výše kapitálových výdajů </w:t>
      </w:r>
      <w:r w:rsidR="005F10B2" w:rsidRPr="00BD489C">
        <w:t>byla pod průměrem</w:t>
      </w:r>
      <w:r w:rsidR="005F10B2" w:rsidRPr="002F187B">
        <w:t xml:space="preserve"> sledovaného období </w:t>
      </w:r>
      <w:r w:rsidR="000B21CC">
        <w:t xml:space="preserve">(85,6 mil. Kč) </w:t>
      </w:r>
      <w:r w:rsidR="005F10B2" w:rsidRPr="002F187B">
        <w:t xml:space="preserve">a dosahovala </w:t>
      </w:r>
      <w:r w:rsidR="001E2303">
        <w:t>67,4</w:t>
      </w:r>
      <w:r w:rsidR="005F10B2" w:rsidRPr="002F187B">
        <w:t xml:space="preserve"> mil. Kč.</w:t>
      </w:r>
    </w:p>
    <w:p w14:paraId="5944BD3D" w14:textId="1567572B" w:rsidR="002C36D0" w:rsidRPr="007F7EE4" w:rsidRDefault="002C36D0" w:rsidP="007F7EE4">
      <w:pPr>
        <w:pStyle w:val="Graf0"/>
      </w:pPr>
      <w:bookmarkStart w:id="53" w:name="_Toc213758621"/>
      <w:r w:rsidRPr="007F7EE4">
        <w:t>Krytí kapitálových výdajů minulého období</w:t>
      </w:r>
      <w:bookmarkEnd w:id="53"/>
    </w:p>
    <w:p w14:paraId="3D1CB743" w14:textId="6D7B7ADC" w:rsidR="002C36D0" w:rsidRDefault="00B622B6" w:rsidP="002C36D0">
      <w:pPr>
        <w:pStyle w:val="Objekt"/>
      </w:pPr>
      <w:r w:rsidRPr="00B622B6">
        <w:rPr>
          <w:noProof/>
        </w:rPr>
        <w:drawing>
          <wp:inline distT="0" distB="0" distL="0" distR="0" wp14:anchorId="0A4EEC00" wp14:editId="51313564">
            <wp:extent cx="6480810" cy="1897380"/>
            <wp:effectExtent l="0" t="0" r="0" b="0"/>
            <wp:docPr id="175455353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9E564" w14:textId="77777777" w:rsidR="00D64E9D" w:rsidRDefault="00D64E9D" w:rsidP="002C36D0">
      <w:pPr>
        <w:pStyle w:val="Objekt"/>
      </w:pPr>
    </w:p>
    <w:p w14:paraId="2F7F1696" w14:textId="24D133A0" w:rsidR="00560F68" w:rsidRDefault="002C36D0" w:rsidP="002C36D0">
      <w:r w:rsidRPr="0000386C">
        <w:t xml:space="preserve">Největší podíl </w:t>
      </w:r>
      <w:r w:rsidR="00B642E0" w:rsidRPr="0000386C">
        <w:t xml:space="preserve">na </w:t>
      </w:r>
      <w:r w:rsidR="00B02148" w:rsidRPr="0000386C">
        <w:t xml:space="preserve">seskupení položek 61 </w:t>
      </w:r>
      <w:r w:rsidR="000A1ABF" w:rsidRPr="0000386C">
        <w:t xml:space="preserve">(tj. kapitálové výdaje </w:t>
      </w:r>
      <w:r w:rsidR="00B02148" w:rsidRPr="0000386C">
        <w:t xml:space="preserve">bez investičních finančních a transferových výdajů) </w:t>
      </w:r>
      <w:r w:rsidRPr="0000386C">
        <w:t>směřuje do</w:t>
      </w:r>
      <w:r w:rsidR="00176F15">
        <w:t xml:space="preserve"> odvětvové skupiny</w:t>
      </w:r>
      <w:r w:rsidRPr="0000386C">
        <w:t xml:space="preserve"> </w:t>
      </w:r>
      <w:r w:rsidR="001E2303">
        <w:t>Služby pro obyvatelstvo</w:t>
      </w:r>
      <w:r w:rsidRPr="0000386C">
        <w:t xml:space="preserve"> (</w:t>
      </w:r>
      <w:r w:rsidR="001E2303">
        <w:t>69,7 %</w:t>
      </w:r>
      <w:r w:rsidRPr="0000386C">
        <w:t xml:space="preserve"> - dominantní jsou zde výdaje na</w:t>
      </w:r>
      <w:r w:rsidR="00FD7C51">
        <w:t xml:space="preserve"> paragrafech</w:t>
      </w:r>
      <w:r w:rsidRPr="0000386C">
        <w:t xml:space="preserve"> </w:t>
      </w:r>
      <w:r w:rsidR="001E2303">
        <w:t>Základní školy</w:t>
      </w:r>
      <w:r w:rsidRPr="0000386C">
        <w:t xml:space="preserve"> a </w:t>
      </w:r>
      <w:r w:rsidR="001E2303">
        <w:t>Komunální služby a územní rozvoj jinde nezařazené</w:t>
      </w:r>
      <w:r w:rsidRPr="0000386C">
        <w:t xml:space="preserve">) a </w:t>
      </w:r>
      <w:r w:rsidR="001E2303">
        <w:t>Průmysl, a ostatní odvětví hospodářství</w:t>
      </w:r>
      <w:r w:rsidRPr="0000386C">
        <w:t xml:space="preserve"> (</w:t>
      </w:r>
      <w:r w:rsidR="001E2303">
        <w:t>24,9 %</w:t>
      </w:r>
      <w:r w:rsidRPr="0000386C">
        <w:t xml:space="preserve"> - převažují výdaje na</w:t>
      </w:r>
      <w:r w:rsidR="00FD7C51">
        <w:t xml:space="preserve"> paragrafech</w:t>
      </w:r>
      <w:r w:rsidRPr="0000386C">
        <w:t xml:space="preserve"> </w:t>
      </w:r>
      <w:r w:rsidR="001E2303">
        <w:t>Silnice</w:t>
      </w:r>
      <w:r w:rsidR="0000386C" w:rsidRPr="0000386C">
        <w:t xml:space="preserve"> a </w:t>
      </w:r>
      <w:r w:rsidR="001E2303">
        <w:t>Ostatní záležitosti pozemních komunikací</w:t>
      </w:r>
      <w:r w:rsidRPr="0000386C">
        <w:t>).</w:t>
      </w:r>
    </w:p>
    <w:p w14:paraId="0D063A5D" w14:textId="77777777" w:rsidR="00B01126" w:rsidRPr="00196194" w:rsidRDefault="00B01126" w:rsidP="00993408">
      <w:pPr>
        <w:pStyle w:val="Nadpis2"/>
      </w:pPr>
      <w:bookmarkStart w:id="54" w:name="_Toc213758989"/>
      <w:r w:rsidRPr="00196194">
        <w:t>Hospodaření</w:t>
      </w:r>
      <w:bookmarkEnd w:id="34"/>
      <w:bookmarkEnd w:id="54"/>
    </w:p>
    <w:p w14:paraId="42F9C3DF" w14:textId="77777777" w:rsidR="00B01126" w:rsidRPr="00196194" w:rsidRDefault="00B01126" w:rsidP="00993408">
      <w:r w:rsidRPr="00196194">
        <w:t>Při vyhodnocování finančního hospodaření municipality si je třeba uvědomit, že rozpočet i střednědobý výhled rozpočtu se skládá z příjmů a výdajů.</w:t>
      </w:r>
    </w:p>
    <w:p w14:paraId="02DC23CC" w14:textId="77777777" w:rsidR="00B01126" w:rsidRPr="00196194" w:rsidRDefault="00B01126" w:rsidP="00993408">
      <w:r w:rsidRPr="00196194">
        <w:t xml:space="preserve">Rozdíl mezi běžnými příjmy a výdaji se nazývá </w:t>
      </w:r>
      <w:r w:rsidRPr="00196194">
        <w:rPr>
          <w:b/>
        </w:rPr>
        <w:t>provozní přebytek</w:t>
      </w:r>
      <w:r w:rsidR="001C3766" w:rsidRPr="00196194">
        <w:rPr>
          <w:b/>
        </w:rPr>
        <w:t xml:space="preserve"> </w:t>
      </w:r>
      <w:r w:rsidR="001C3766" w:rsidRPr="00196194">
        <w:t>(saldo provozního rozpočtu)</w:t>
      </w:r>
      <w:r w:rsidR="00365B4E" w:rsidRPr="00196194">
        <w:t>.</w:t>
      </w:r>
      <w:r w:rsidRPr="00196194">
        <w:t xml:space="preserve"> </w:t>
      </w:r>
      <w:r w:rsidR="00365B4E" w:rsidRPr="00196194">
        <w:t>T</w:t>
      </w:r>
      <w:r w:rsidRPr="00196194">
        <w:t xml:space="preserve">o </w:t>
      </w:r>
      <w:r w:rsidR="00365B4E" w:rsidRPr="00196194">
        <w:t xml:space="preserve">jsou </w:t>
      </w:r>
      <w:r w:rsidRPr="00196194">
        <w:t xml:space="preserve">prostředky, které </w:t>
      </w:r>
      <w:r w:rsidR="001C3766" w:rsidRPr="00196194">
        <w:t xml:space="preserve">ÚSC slouží primárně ke splátkám jistin a </w:t>
      </w:r>
      <w:r w:rsidRPr="00196194">
        <w:t>na financování investičních záměrů obce. Rozdíl mezi veškerými příjmy a všemi výdaji během rozpočtového roku (</w:t>
      </w:r>
      <w:r w:rsidR="00E148AA" w:rsidRPr="00196194">
        <w:t>totožný s kalendářním rokem</w:t>
      </w:r>
      <w:r w:rsidRPr="00196194">
        <w:t xml:space="preserve">) se nazývá </w:t>
      </w:r>
      <w:r w:rsidRPr="00196194">
        <w:rPr>
          <w:b/>
        </w:rPr>
        <w:t xml:space="preserve">saldo </w:t>
      </w:r>
      <w:r w:rsidR="00A05414">
        <w:rPr>
          <w:b/>
        </w:rPr>
        <w:lastRenderedPageBreak/>
        <w:t>bez financování</w:t>
      </w:r>
      <w:r w:rsidRPr="00196194">
        <w:t xml:space="preserve">. Z těchto dvou indikátorů je mnohem </w:t>
      </w:r>
      <w:r w:rsidRPr="00196194">
        <w:rPr>
          <w:b/>
        </w:rPr>
        <w:t>důležitější</w:t>
      </w:r>
      <w:r w:rsidRPr="00196194">
        <w:t xml:space="preserve"> provozní přebytek než saldo rozpočtu. Důležitost monitorování t</w:t>
      </w:r>
      <w:r w:rsidR="00FD7C51">
        <w:t>ěchto indikátorů</w:t>
      </w:r>
      <w:r w:rsidRPr="00196194">
        <w:t xml:space="preserve"> se zvyšuje, pokud indikátory nabývají záporných hodnot. Jestliže je schválen deficitní rozpočet (je realizováno více výdajů než příjmů), může být tento deficit pokryt z </w:t>
      </w:r>
      <w:r w:rsidR="00D9228F">
        <w:t>přebytku</w:t>
      </w:r>
      <w:r w:rsidRPr="00196194">
        <w:t xml:space="preserve"> hospodaření minulých let. Záporný provozní přebytek (provozní saldo) indikuje možné ohrožení hospodaření municipality. Ve svém důsledku tato skutečnost značí, že </w:t>
      </w:r>
      <w:r w:rsidR="001C3766" w:rsidRPr="00196194">
        <w:t>ÚSC</w:t>
      </w:r>
      <w:r w:rsidRPr="00196194">
        <w:t xml:space="preserve"> nemá dostatek provozních příjmů na úhradu svých běžných (provozních) výdajů. Tento provozní schodek pak pokrý</w:t>
      </w:r>
      <w:r w:rsidR="001C3766" w:rsidRPr="00196194">
        <w:t>vá</w:t>
      </w:r>
      <w:r w:rsidRPr="00196194">
        <w:t xml:space="preserve"> buď prodejem majetku nebo úvěrem.</w:t>
      </w:r>
    </w:p>
    <w:p w14:paraId="5255FE28" w14:textId="2C94480D" w:rsidR="002C2863" w:rsidRPr="007F7EE4" w:rsidRDefault="002C2863" w:rsidP="009A770A">
      <w:pPr>
        <w:pStyle w:val="Tabulka"/>
      </w:pPr>
      <w:bookmarkStart w:id="55" w:name="_Toc213758602"/>
      <w:r w:rsidRPr="007F7EE4">
        <w:t>Rekapitulace hospodaření</w:t>
      </w:r>
      <w:bookmarkEnd w:id="55"/>
    </w:p>
    <w:p w14:paraId="48043573" w14:textId="1B4E72DA" w:rsidR="002C2863" w:rsidRPr="003300CB" w:rsidRDefault="00B622B6" w:rsidP="00724EBF">
      <w:pPr>
        <w:pStyle w:val="Objekt"/>
      </w:pPr>
      <w:r w:rsidRPr="00B622B6">
        <w:rPr>
          <w:noProof/>
        </w:rPr>
        <w:drawing>
          <wp:inline distT="0" distB="0" distL="0" distR="0" wp14:anchorId="7A3C076D" wp14:editId="370A2587">
            <wp:extent cx="5894070" cy="1819910"/>
            <wp:effectExtent l="0" t="0" r="0" b="8890"/>
            <wp:docPr id="1196880316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3C227" w14:textId="2ED53ECD" w:rsidR="00A844E4" w:rsidRDefault="00B01126" w:rsidP="00F23460">
      <w:r w:rsidRPr="00196194">
        <w:t xml:space="preserve">Analýza hospodaření </w:t>
      </w:r>
      <w:r w:rsidR="00111052">
        <w:t>města</w:t>
      </w:r>
      <w:r w:rsidRPr="00196194">
        <w:t xml:space="preserve"> je základním krokem pro sestavení </w:t>
      </w:r>
      <w:r w:rsidR="00F07294" w:rsidRPr="00196194">
        <w:t>SVR</w:t>
      </w:r>
      <w:r w:rsidRPr="00BD489C">
        <w:t xml:space="preserve">. </w:t>
      </w:r>
      <w:r w:rsidR="007A219F" w:rsidRPr="00BD489C">
        <w:t>U</w:t>
      </w:r>
      <w:r w:rsidRPr="00BD489C">
        <w:t xml:space="preserve">kazuje, že město hospodařilo v jednotlivých letech s příjmy v celkových objemech od </w:t>
      </w:r>
      <w:r w:rsidR="001E2303" w:rsidRPr="00BD489C">
        <w:t>223,0</w:t>
      </w:r>
      <w:r w:rsidR="0000386C" w:rsidRPr="00BD489C">
        <w:t xml:space="preserve"> </w:t>
      </w:r>
      <w:r w:rsidRPr="00BD489C">
        <w:t>mil. Kč (</w:t>
      </w:r>
      <w:r w:rsidR="001E2303" w:rsidRPr="00BD489C">
        <w:t>2020</w:t>
      </w:r>
      <w:r w:rsidRPr="00BD489C">
        <w:t xml:space="preserve">) až do </w:t>
      </w:r>
      <w:r w:rsidR="001E2303" w:rsidRPr="00BD489C">
        <w:t>335,8</w:t>
      </w:r>
      <w:r w:rsidRPr="00BD489C">
        <w:t xml:space="preserve"> mil. Kč (</w:t>
      </w:r>
      <w:r w:rsidR="001E2303" w:rsidRPr="00BD489C">
        <w:t>2023</w:t>
      </w:r>
      <w:r w:rsidRPr="00BD489C">
        <w:t xml:space="preserve">). Celkový objem výdajů se pohyboval od </w:t>
      </w:r>
      <w:r w:rsidR="001E2303" w:rsidRPr="00BD489C">
        <w:t>181,5</w:t>
      </w:r>
      <w:r w:rsidR="0000386C" w:rsidRPr="00BD489C">
        <w:t xml:space="preserve"> </w:t>
      </w:r>
      <w:r w:rsidRPr="00BD489C">
        <w:t>mil. Kč (</w:t>
      </w:r>
      <w:r w:rsidR="001E2303" w:rsidRPr="00BD489C">
        <w:t>2020</w:t>
      </w:r>
      <w:r w:rsidRPr="00BD489C">
        <w:t xml:space="preserve">) do </w:t>
      </w:r>
      <w:r w:rsidR="001E2303" w:rsidRPr="00BD489C">
        <w:t>331,1</w:t>
      </w:r>
      <w:r w:rsidRPr="00BD489C">
        <w:t xml:space="preserve"> mil. Kč (</w:t>
      </w:r>
      <w:r w:rsidR="001E2303" w:rsidRPr="00BD489C">
        <w:t>2024</w:t>
      </w:r>
      <w:r w:rsidRPr="00BD489C">
        <w:t xml:space="preserve">). V </w:t>
      </w:r>
      <w:r w:rsidR="002C1F00" w:rsidRPr="00BD489C">
        <w:t>roce</w:t>
      </w:r>
      <w:r w:rsidRPr="00BD489C">
        <w:t xml:space="preserve"> </w:t>
      </w:r>
      <w:r w:rsidR="001E2303" w:rsidRPr="00BD489C">
        <w:t>2021 a 2024</w:t>
      </w:r>
      <w:r w:rsidRPr="00BD489C">
        <w:t xml:space="preserve"> hospodařilo město s deficitem (</w:t>
      </w:r>
      <w:r w:rsidR="001E2303" w:rsidRPr="00BD489C">
        <w:t>18,1, resp. 30,4</w:t>
      </w:r>
      <w:r w:rsidR="00196194" w:rsidRPr="00BD489C">
        <w:t xml:space="preserve"> mil. Kč</w:t>
      </w:r>
      <w:r w:rsidRPr="00BD489C">
        <w:t xml:space="preserve">), v ostatních analyzovaných letech vykazovalo přebytek hospodaření. Nejvyššího přebytku město dosáhlo v roce </w:t>
      </w:r>
      <w:r w:rsidR="001E2303" w:rsidRPr="00BD489C">
        <w:t>2023</w:t>
      </w:r>
      <w:r w:rsidRPr="00BD489C">
        <w:t xml:space="preserve">, </w:t>
      </w:r>
      <w:r w:rsidR="00A21376" w:rsidRPr="00BD489C">
        <w:t xml:space="preserve">a to </w:t>
      </w:r>
      <w:r w:rsidR="001E2303" w:rsidRPr="00BD489C">
        <w:t>54,2</w:t>
      </w:r>
      <w:r w:rsidR="0000386C" w:rsidRPr="00BD489C">
        <w:t xml:space="preserve"> </w:t>
      </w:r>
      <w:r w:rsidR="00A21376" w:rsidRPr="00BD489C">
        <w:t>mil. Kč.</w:t>
      </w:r>
      <w:r w:rsidR="00BC48E4" w:rsidRPr="00BD489C">
        <w:t xml:space="preserve"> </w:t>
      </w:r>
      <w:r w:rsidR="00A844E4" w:rsidRPr="00BD489C">
        <w:t>Je patrné, že na výši celkových příjmů a výdajů má zásadní vliv kapitálový rozpočet, na straně příjmů reprezentovaný zejména</w:t>
      </w:r>
      <w:r w:rsidR="00A844E4" w:rsidRPr="00AB7FB1">
        <w:t xml:space="preserve"> investičními transfery, na straně výdajů novou výstavbou nebo opravami, které zvyšují hodnotu </w:t>
      </w:r>
      <w:r w:rsidR="00A844E4" w:rsidRPr="00BD489C">
        <w:t xml:space="preserve">majetku. Proto </w:t>
      </w:r>
      <w:r w:rsidR="0018024A" w:rsidRPr="00BD489C">
        <w:t>zpravidla</w:t>
      </w:r>
      <w:r w:rsidR="005F5E83" w:rsidRPr="00BD489C">
        <w:t xml:space="preserve"> v letech</w:t>
      </w:r>
      <w:r w:rsidR="005F5E83" w:rsidRPr="00A90E58">
        <w:t xml:space="preserve"> </w:t>
      </w:r>
      <w:r w:rsidR="00A844E4" w:rsidRPr="00A90E58">
        <w:t xml:space="preserve">nejvyšších investičních výdajů dochází k zápornému výsledku hospodaření (hodnoty salda bez financování, </w:t>
      </w:r>
      <w:r w:rsidR="00A90E58">
        <w:t>případně také</w:t>
      </w:r>
      <w:r w:rsidR="00A844E4" w:rsidRPr="00A90E58">
        <w:t xml:space="preserve"> v celkové bilanci hospodaření). </w:t>
      </w:r>
      <w:r w:rsidR="00A844E4" w:rsidRPr="00BD489C">
        <w:t>Nízké hodnoty Rozdílu PP a splátek jistin v</w:t>
      </w:r>
      <w:r w:rsidR="00BD489C" w:rsidRPr="00BD489C">
        <w:t> roce 2020 je</w:t>
      </w:r>
      <w:r w:rsidR="00A844E4" w:rsidRPr="00BD489C">
        <w:t xml:space="preserve"> způsobeny jednorázovou splátkou jistin při předfinancování investičních projektů.</w:t>
      </w:r>
    </w:p>
    <w:p w14:paraId="1F876716" w14:textId="5462B64B" w:rsidR="00B01126" w:rsidRPr="007F7EE4" w:rsidRDefault="00F23460" w:rsidP="007F7EE4">
      <w:pPr>
        <w:pStyle w:val="Graf0"/>
      </w:pPr>
      <w:bookmarkStart w:id="56" w:name="_Toc428351149"/>
      <w:bookmarkStart w:id="57" w:name="_Toc428357444"/>
      <w:bookmarkStart w:id="58" w:name="_Toc55981679"/>
      <w:bookmarkStart w:id="59" w:name="_Toc213758622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78D065" wp14:editId="690F64C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479550" cy="2171700"/>
                <wp:effectExtent l="0" t="0" r="6350" b="0"/>
                <wp:wrapSquare wrapText="bothSides"/>
                <wp:docPr id="7812335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DB067" w14:textId="3B6CBFA7" w:rsidR="00F23460" w:rsidRPr="00B11A45" w:rsidRDefault="00F23460" w:rsidP="00957F27">
                            <w:pPr>
                              <w:pStyle w:val="Citt"/>
                            </w:pPr>
                            <w:r w:rsidRPr="00BD489C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Záporné saldo bez financování v letech</w:t>
                            </w:r>
                            <w:r w:rsidR="001E2303" w:rsidRPr="00BD489C">
                              <w:t xml:space="preserve"> 2021 a 2024</w:t>
                            </w:r>
                            <w:r w:rsidRPr="00BD489C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je důsledkem nejvyšších investičních výdajů (</w:t>
                            </w:r>
                            <w:r w:rsidR="001E2303" w:rsidRPr="00BD489C">
                              <w:t>104,7 a 134,9</w:t>
                            </w:r>
                            <w:r w:rsidRPr="00BD489C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mil. Kč) v celém pětiletém</w:t>
                            </w:r>
                            <w:r w:rsidRPr="00B11A45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období</w:t>
                            </w:r>
                          </w:p>
                          <w:p w14:paraId="758558C7" w14:textId="77777777" w:rsidR="00F23460" w:rsidRPr="00B11A45" w:rsidRDefault="00F23460" w:rsidP="00F23460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8D065" id="_x0000_s1031" type="#_x0000_t202" style="position:absolute;left:0;text-align:left;margin-left:65.3pt;margin-top:0;width:116.5pt;height:171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" stroked="f">
                <v:textbox>
                  <w:txbxContent>
                    <w:p w14:paraId="4A7DB067" w14:textId="3B6CBFA7" w:rsidR="00F23460" w:rsidRPr="00B11A45" w:rsidRDefault="00F23460" w:rsidP="00957F27">
                      <w:pPr>
                        <w:pStyle w:val="Citt"/>
                      </w:pPr>
                      <w:r w:rsidRPr="00BD489C">
                        <w:rPr>
                          <w:rStyle w:val="Odkaznakoment"/>
                          <w:sz w:val="22"/>
                          <w:szCs w:val="22"/>
                        </w:rPr>
                        <w:t>Záporné saldo bez financování v letech</w:t>
                      </w:r>
                      <w:r w:rsidR="001E2303" w:rsidRPr="00BD489C">
                        <w:t xml:space="preserve"> 2021 a 2024</w:t>
                      </w:r>
                      <w:r w:rsidRPr="00BD489C">
                        <w:rPr>
                          <w:rStyle w:val="Odkaznakoment"/>
                          <w:sz w:val="22"/>
                          <w:szCs w:val="22"/>
                        </w:rPr>
                        <w:t xml:space="preserve"> je důsledkem nejvyšších investičních výdajů (</w:t>
                      </w:r>
                      <w:r w:rsidR="001E2303" w:rsidRPr="00BD489C">
                        <w:t>104,7 a 134,9</w:t>
                      </w:r>
                      <w:r w:rsidRPr="00BD489C">
                        <w:rPr>
                          <w:rStyle w:val="Odkaznakoment"/>
                          <w:sz w:val="22"/>
                          <w:szCs w:val="22"/>
                        </w:rPr>
                        <w:t xml:space="preserve"> mil. Kč) v celém pětiletém</w:t>
                      </w:r>
                      <w:r w:rsidRPr="00B11A45">
                        <w:rPr>
                          <w:rStyle w:val="Odkaznakoment"/>
                          <w:sz w:val="22"/>
                          <w:szCs w:val="22"/>
                        </w:rPr>
                        <w:t xml:space="preserve"> období</w:t>
                      </w:r>
                    </w:p>
                    <w:p w14:paraId="758558C7" w14:textId="77777777" w:rsidR="00F23460" w:rsidRPr="00B11A45" w:rsidRDefault="00F23460" w:rsidP="00F23460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1126" w:rsidRPr="007F7EE4">
        <w:t>Vývoj příjmů, výdajů a salda hospodaření</w:t>
      </w:r>
      <w:bookmarkEnd w:id="56"/>
      <w:bookmarkEnd w:id="57"/>
      <w:bookmarkEnd w:id="58"/>
      <w:bookmarkEnd w:id="59"/>
    </w:p>
    <w:p w14:paraId="288A8658" w14:textId="4AFA0E52" w:rsidR="00B01126" w:rsidRPr="003300CB" w:rsidRDefault="00B622B6" w:rsidP="008C3DB0">
      <w:pPr>
        <w:pStyle w:val="Objekt"/>
      </w:pPr>
      <w:r w:rsidRPr="00B622B6">
        <w:rPr>
          <w:noProof/>
        </w:rPr>
        <w:drawing>
          <wp:inline distT="0" distB="0" distL="0" distR="0" wp14:anchorId="5B857CFE" wp14:editId="50E9CA11">
            <wp:extent cx="4870450" cy="2017185"/>
            <wp:effectExtent l="0" t="0" r="0" b="0"/>
            <wp:docPr id="434833787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22" cy="20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3FEE5" w14:textId="02E39861" w:rsidR="0073754C" w:rsidRPr="00AD77E8" w:rsidRDefault="0073754C" w:rsidP="0073754C">
      <w:r w:rsidRPr="0073754C">
        <w:t xml:space="preserve">Pozitivním zjištěním, po </w:t>
      </w:r>
      <w:r w:rsidRPr="00BD489C">
        <w:t>analýze hospodaření za uplynulé pětileté období, je skutečnost, že město z provozního rozpočtu (</w:t>
      </w:r>
      <w:r w:rsidR="00560F68" w:rsidRPr="00BD489C">
        <w:t>p</w:t>
      </w:r>
      <w:r w:rsidRPr="00BD489C">
        <w:t xml:space="preserve">o uhrazení splátek půjčených prostředků) mohlo využít </w:t>
      </w:r>
      <w:r w:rsidR="001E2303" w:rsidRPr="00BD489C">
        <w:t>424,4</w:t>
      </w:r>
      <w:r w:rsidR="00AD3287" w:rsidRPr="00BD489C">
        <w:t xml:space="preserve"> </w:t>
      </w:r>
      <w:r w:rsidRPr="00BD489C">
        <w:t xml:space="preserve">mil. Kč na svůj rozvoj. Zároveň zůstatek na běžných účtech města </w:t>
      </w:r>
      <w:r w:rsidR="00CE3B46" w:rsidRPr="00BD489C">
        <w:t>v letech</w:t>
      </w:r>
      <w:r w:rsidRPr="00BD489C">
        <w:t xml:space="preserve"> </w:t>
      </w:r>
      <w:r w:rsidR="001E2303" w:rsidRPr="00BD489C">
        <w:t>2020</w:t>
      </w:r>
      <w:r w:rsidRPr="00BD489C">
        <w:t xml:space="preserve"> </w:t>
      </w:r>
      <w:r w:rsidR="00CE3B46" w:rsidRPr="00BD489C">
        <w:t>až</w:t>
      </w:r>
      <w:r w:rsidRPr="00BD489C">
        <w:t xml:space="preserve"> </w:t>
      </w:r>
      <w:r w:rsidR="001E2303" w:rsidRPr="00BD489C">
        <w:t>2024</w:t>
      </w:r>
      <w:r w:rsidR="00A90E58" w:rsidRPr="00BD489C">
        <w:t xml:space="preserve"> vzrostl</w:t>
      </w:r>
      <w:r w:rsidRPr="00BD489C">
        <w:t xml:space="preserve"> </w:t>
      </w:r>
      <w:r w:rsidRPr="00D25CE0">
        <w:t>o</w:t>
      </w:r>
      <w:r w:rsidRPr="00BD489C">
        <w:rPr>
          <w:b/>
          <w:bCs/>
        </w:rPr>
        <w:t xml:space="preserve"> </w:t>
      </w:r>
      <w:r w:rsidR="001E2303" w:rsidRPr="00BD489C">
        <w:t>27,8</w:t>
      </w:r>
      <w:r w:rsidRPr="00BD489C">
        <w:t xml:space="preserve"> mil. Kč.</w:t>
      </w:r>
    </w:p>
    <w:p w14:paraId="60F69C6B" w14:textId="77777777" w:rsidR="00B01126" w:rsidRPr="004D0FAA" w:rsidRDefault="00B01126" w:rsidP="004D0FAA">
      <w:pPr>
        <w:pStyle w:val="Nadpis3"/>
      </w:pPr>
      <w:r w:rsidRPr="004D0FAA">
        <w:t>Základní ukazatele hospodaření</w:t>
      </w:r>
    </w:p>
    <w:p w14:paraId="6FDB9B5F" w14:textId="11CFD756" w:rsidR="00B01126" w:rsidRPr="00660FF6" w:rsidRDefault="00B01126" w:rsidP="00993408">
      <w:r w:rsidRPr="00660FF6">
        <w:t xml:space="preserve">O vztahu mezi provozními </w:t>
      </w:r>
      <w:r w:rsidRPr="00BD489C">
        <w:t xml:space="preserve">příjmy a výdaji nejlépe vypovídá </w:t>
      </w:r>
      <w:r w:rsidRPr="00BD489C">
        <w:rPr>
          <w:b/>
        </w:rPr>
        <w:t>provozní přebytek</w:t>
      </w:r>
      <w:r w:rsidRPr="00BD489C">
        <w:t xml:space="preserve">. V každém analyzovaném roce nabýval provozní přebytek kladných hodnot. Nejnižší hodnoty tento základní ukazatel dosáhl v roce </w:t>
      </w:r>
      <w:r w:rsidR="001E2303" w:rsidRPr="00BD489C">
        <w:t>2020</w:t>
      </w:r>
      <w:r w:rsidRPr="00BD489C">
        <w:t xml:space="preserve"> (</w:t>
      </w:r>
      <w:r w:rsidR="001E2303" w:rsidRPr="00BD489C">
        <w:t>55,5</w:t>
      </w:r>
      <w:r w:rsidRPr="00BD489C">
        <w:t xml:space="preserve"> </w:t>
      </w:r>
      <w:r w:rsidRPr="00BD489C">
        <w:lastRenderedPageBreak/>
        <w:t xml:space="preserve">mil. Kč), nejvyšší pak v roce </w:t>
      </w:r>
      <w:r w:rsidR="001E2303" w:rsidRPr="00BD489C">
        <w:t>2023</w:t>
      </w:r>
      <w:r w:rsidRPr="00BD489C">
        <w:t xml:space="preserve"> (</w:t>
      </w:r>
      <w:r w:rsidR="001E2303" w:rsidRPr="00BD489C">
        <w:t>121,2</w:t>
      </w:r>
      <w:r w:rsidRPr="00BD489C">
        <w:t xml:space="preserve"> mil. Kč). Průměrná hodnota provozního přebytku ve sledovaném období byla </w:t>
      </w:r>
      <w:r w:rsidR="001E2303" w:rsidRPr="00BD489C">
        <w:t>94,9</w:t>
      </w:r>
      <w:r w:rsidRPr="00BD489C">
        <w:t xml:space="preserve"> mil. Kč.</w:t>
      </w:r>
      <w:r w:rsidR="0077497B">
        <w:t xml:space="preserve"> </w:t>
      </w:r>
    </w:p>
    <w:p w14:paraId="56E477EF" w14:textId="26542C74" w:rsidR="00B01126" w:rsidRPr="007F7EE4" w:rsidRDefault="00F23460" w:rsidP="007F7EE4">
      <w:pPr>
        <w:pStyle w:val="Graf0"/>
      </w:pPr>
      <w:bookmarkStart w:id="60" w:name="_Toc428351155"/>
      <w:bookmarkStart w:id="61" w:name="_Toc428357450"/>
      <w:bookmarkStart w:id="62" w:name="_Toc55981686"/>
      <w:bookmarkStart w:id="63" w:name="_Toc213758623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D5BC7B" wp14:editId="316D43B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479600" cy="1720800"/>
                <wp:effectExtent l="0" t="0" r="6350" b="0"/>
                <wp:wrapSquare wrapText="bothSides"/>
                <wp:docPr id="5552846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600" cy="17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5C971" w14:textId="77777777" w:rsidR="00F23460" w:rsidRPr="00B11A45" w:rsidRDefault="00F23460" w:rsidP="00957F27">
                            <w:pPr>
                              <w:pStyle w:val="Citt"/>
                            </w:pPr>
                            <w:r w:rsidRPr="00B11A45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V každém roce provozní přebytek dosahuje kladných hodnot</w:t>
                            </w:r>
                          </w:p>
                          <w:p w14:paraId="1310150F" w14:textId="77777777" w:rsidR="00F23460" w:rsidRPr="00B11A45" w:rsidRDefault="00F23460" w:rsidP="00F23460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5BC7B" id="_x0000_s1032" type="#_x0000_t202" style="position:absolute;left:0;text-align:left;margin-left:65.3pt;margin-top:0;width:116.5pt;height:135.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" stroked="f">
                <v:textbox>
                  <w:txbxContent>
                    <w:p w14:paraId="1CA5C971" w14:textId="77777777" w:rsidR="00F23460" w:rsidRPr="00B11A45" w:rsidRDefault="00F23460" w:rsidP="00957F27">
                      <w:pPr>
                        <w:pStyle w:val="Citt"/>
                      </w:pPr>
                      <w:r w:rsidRPr="00B11A45">
                        <w:rPr>
                          <w:rStyle w:val="Odkaznakoment"/>
                          <w:sz w:val="22"/>
                          <w:szCs w:val="22"/>
                        </w:rPr>
                        <w:t>V každém roce provozní přebytek dosahuje kladných hodnot</w:t>
                      </w:r>
                    </w:p>
                    <w:p w14:paraId="1310150F" w14:textId="77777777" w:rsidR="00F23460" w:rsidRPr="00B11A45" w:rsidRDefault="00F23460" w:rsidP="00F23460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1126" w:rsidRPr="007F7EE4">
        <w:t>Vývoj běžných příjmů, výdajů a provozního přebytku</w:t>
      </w:r>
      <w:bookmarkEnd w:id="60"/>
      <w:bookmarkEnd w:id="61"/>
      <w:bookmarkEnd w:id="62"/>
      <w:bookmarkEnd w:id="63"/>
    </w:p>
    <w:p w14:paraId="15D9DF5F" w14:textId="12B4505D" w:rsidR="00B01126" w:rsidRPr="003300CB" w:rsidRDefault="00B622B6" w:rsidP="008C3DB0">
      <w:pPr>
        <w:pStyle w:val="Objekt"/>
      </w:pPr>
      <w:r w:rsidRPr="00B622B6">
        <w:rPr>
          <w:noProof/>
        </w:rPr>
        <w:drawing>
          <wp:inline distT="0" distB="0" distL="0" distR="0" wp14:anchorId="4F360957" wp14:editId="752D265C">
            <wp:extent cx="4809629" cy="1991995"/>
            <wp:effectExtent l="0" t="0" r="0" b="0"/>
            <wp:docPr id="1405885104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60" cy="199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074B" w14:textId="7610326C" w:rsidR="00B01126" w:rsidRDefault="00B01126" w:rsidP="00993408">
      <w:r w:rsidRPr="00660FF6">
        <w:t xml:space="preserve">Další možností, jak zhodnotit hospodaření města, jsou hodnoty </w:t>
      </w:r>
      <w:r w:rsidR="00362A5F" w:rsidRPr="00660FF6">
        <w:t>ukazatele</w:t>
      </w:r>
      <w:r w:rsidRPr="00660FF6">
        <w:t xml:space="preserve"> provozních úspor. </w:t>
      </w:r>
      <w:r w:rsidR="00362A5F" w:rsidRPr="00660FF6">
        <w:t>Ukazatel</w:t>
      </w:r>
      <w:r w:rsidRPr="00660FF6">
        <w:t xml:space="preserve"> vyjadřuje procentuální hodnotu finančních prostředků, které zůstávají z provozních příjmů po úhradě provozních výdajů</w:t>
      </w:r>
      <w:r w:rsidR="00A608C1">
        <w:t xml:space="preserve"> na krytí investi</w:t>
      </w:r>
      <w:r w:rsidR="007E238E">
        <w:t>č</w:t>
      </w:r>
      <w:r w:rsidR="00A608C1">
        <w:t>ních záměrů města</w:t>
      </w:r>
      <w:r w:rsidRPr="00660FF6">
        <w:t xml:space="preserve">. Minimální hodnota ukazatele je 10 %, v ideálním případě se výše ukazatele má pohybovat </w:t>
      </w:r>
      <w:r w:rsidR="007441D1">
        <w:t xml:space="preserve">v intervalu </w:t>
      </w:r>
      <w:proofErr w:type="gramStart"/>
      <w:r w:rsidR="007441D1">
        <w:t>25 – 45</w:t>
      </w:r>
      <w:proofErr w:type="gramEnd"/>
      <w:r w:rsidR="007441D1">
        <w:t>%</w:t>
      </w:r>
      <w:r w:rsidRPr="00660FF6">
        <w:t>.</w:t>
      </w:r>
    </w:p>
    <w:p w14:paraId="5933A289" w14:textId="22504698" w:rsidR="00B01126" w:rsidRPr="007F7EE4" w:rsidRDefault="00F23460" w:rsidP="007F7EE4">
      <w:pPr>
        <w:pStyle w:val="Graf0"/>
      </w:pPr>
      <w:bookmarkStart w:id="64" w:name="_Toc428351156"/>
      <w:bookmarkStart w:id="65" w:name="_Toc428357451"/>
      <w:bookmarkStart w:id="66" w:name="_Toc55981687"/>
      <w:bookmarkStart w:id="67" w:name="_Toc213758624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2EE844B" wp14:editId="55640F8E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1479600" cy="1720800"/>
                <wp:effectExtent l="0" t="0" r="6350" b="0"/>
                <wp:wrapSquare wrapText="bothSides"/>
                <wp:docPr id="127562466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600" cy="17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451F1" w14:textId="470E6174" w:rsidR="0086511A" w:rsidRPr="00B11A45" w:rsidRDefault="0086511A" w:rsidP="00957F27">
                            <w:pPr>
                              <w:pStyle w:val="Citt"/>
                            </w:pPr>
                            <w:r w:rsidRPr="00B11A45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Hodnoty ukazatele provozních úspor </w:t>
                            </w:r>
                            <w:r w:rsidRPr="00BD489C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nejvíce ovlivňují sdílené daně a platy a související výdaje / příspěvky PO </w:t>
                            </w:r>
                          </w:p>
                          <w:p w14:paraId="3A245003" w14:textId="77777777" w:rsidR="00F23460" w:rsidRPr="00B11A45" w:rsidRDefault="00F23460" w:rsidP="00F23460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E844B" id="_x0000_s1033" type="#_x0000_t202" style="position:absolute;left:0;text-align:left;margin-left:65.3pt;margin-top:.05pt;width:116.5pt;height:135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" stroked="f">
                <v:textbox>
                  <w:txbxContent>
                    <w:p w14:paraId="489451F1" w14:textId="470E6174" w:rsidR="0086511A" w:rsidRPr="00B11A45" w:rsidRDefault="0086511A" w:rsidP="00957F27">
                      <w:pPr>
                        <w:pStyle w:val="Citt"/>
                      </w:pPr>
                      <w:r w:rsidRPr="00B11A45">
                        <w:rPr>
                          <w:rStyle w:val="Odkaznakoment"/>
                          <w:sz w:val="22"/>
                          <w:szCs w:val="22"/>
                        </w:rPr>
                        <w:t xml:space="preserve">Hodnoty ukazatele provozních úspor </w:t>
                      </w:r>
                      <w:r w:rsidRPr="00BD489C">
                        <w:rPr>
                          <w:rStyle w:val="Odkaznakoment"/>
                          <w:sz w:val="22"/>
                          <w:szCs w:val="22"/>
                        </w:rPr>
                        <w:t xml:space="preserve">nejvíce ovlivňují sdílené daně a platy a související výdaje / příspěvky PO </w:t>
                      </w:r>
                    </w:p>
                    <w:p w14:paraId="3A245003" w14:textId="77777777" w:rsidR="00F23460" w:rsidRPr="00B11A45" w:rsidRDefault="00F23460" w:rsidP="00F23460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1126" w:rsidRPr="007F7EE4">
        <w:t xml:space="preserve">Vývoj </w:t>
      </w:r>
      <w:bookmarkEnd w:id="64"/>
      <w:bookmarkEnd w:id="65"/>
      <w:bookmarkEnd w:id="66"/>
      <w:r w:rsidR="00765C93" w:rsidRPr="007F7EE4">
        <w:t>provozních ukazatelů</w:t>
      </w:r>
      <w:bookmarkEnd w:id="67"/>
    </w:p>
    <w:p w14:paraId="2CEF36E4" w14:textId="2A5A9E94" w:rsidR="00B01126" w:rsidRPr="003300CB" w:rsidRDefault="00B622B6" w:rsidP="008C3DB0">
      <w:pPr>
        <w:pStyle w:val="Objekt"/>
      </w:pPr>
      <w:r w:rsidRPr="00B622B6">
        <w:rPr>
          <w:noProof/>
        </w:rPr>
        <w:drawing>
          <wp:inline distT="0" distB="0" distL="0" distR="0" wp14:anchorId="767A6E3F" wp14:editId="11A4960A">
            <wp:extent cx="4875555" cy="2019300"/>
            <wp:effectExtent l="0" t="0" r="1270" b="0"/>
            <wp:docPr id="1872025237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788" cy="202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897D" w14:textId="4FAF5313" w:rsidR="00F07294" w:rsidRPr="00A222B0" w:rsidRDefault="00F07294" w:rsidP="00F07294">
      <w:r w:rsidRPr="00A222B0">
        <w:t xml:space="preserve">Předcházející graf ukazuje </w:t>
      </w:r>
      <w:r w:rsidR="00186F36" w:rsidRPr="00A222B0">
        <w:t xml:space="preserve">stabilní </w:t>
      </w:r>
      <w:r w:rsidRPr="00A222B0">
        <w:t xml:space="preserve">hodnoty </w:t>
      </w:r>
      <w:r w:rsidRPr="00A222B0">
        <w:rPr>
          <w:b/>
        </w:rPr>
        <w:t>ukazatele provozních úspor</w:t>
      </w:r>
      <w:r w:rsidRPr="00A222B0">
        <w:t xml:space="preserve">. Pozornost upoutá především </w:t>
      </w:r>
      <w:r w:rsidR="00BD489C" w:rsidRPr="00A222B0">
        <w:t>vývoj hodnot</w:t>
      </w:r>
      <w:r w:rsidR="00660FF6" w:rsidRPr="00A222B0">
        <w:t xml:space="preserve"> ukazatele v</w:t>
      </w:r>
      <w:r w:rsidR="00BD489C" w:rsidRPr="00A222B0">
        <w:t> letech 2020 až</w:t>
      </w:r>
      <w:r w:rsidR="00660FF6" w:rsidRPr="00A222B0">
        <w:t xml:space="preserve"> 20</w:t>
      </w:r>
      <w:r w:rsidR="00BD489C" w:rsidRPr="00A222B0">
        <w:t>22</w:t>
      </w:r>
      <w:r w:rsidR="00092667" w:rsidRPr="00A222B0">
        <w:t xml:space="preserve">, což je důsledek </w:t>
      </w:r>
      <w:r w:rsidR="00A222B0" w:rsidRPr="00A222B0">
        <w:t xml:space="preserve">jednak pozitivního vývoje sdílených daní, ale také realizovaných příjmů z pronájmu majetku a </w:t>
      </w:r>
      <w:r w:rsidR="00092667" w:rsidRPr="00A222B0">
        <w:t xml:space="preserve">zvýšených </w:t>
      </w:r>
      <w:r w:rsidR="00A222B0" w:rsidRPr="00A222B0">
        <w:t>přijatých sankčních plateb (2022)</w:t>
      </w:r>
      <w:r w:rsidR="00660FF6" w:rsidRPr="00A222B0">
        <w:t xml:space="preserve">. </w:t>
      </w:r>
      <w:r w:rsidRPr="00A222B0">
        <w:t>Ukazatel se</w:t>
      </w:r>
      <w:r w:rsidR="00A90E58" w:rsidRPr="00A222B0">
        <w:t xml:space="preserve"> </w:t>
      </w:r>
      <w:r w:rsidR="00092667" w:rsidRPr="00A222B0">
        <w:t>jinak pohybuje</w:t>
      </w:r>
      <w:r w:rsidRPr="00A222B0">
        <w:t xml:space="preserve"> </w:t>
      </w:r>
      <w:r w:rsidR="00477C42" w:rsidRPr="00A222B0">
        <w:t>v optimálním rozpětí</w:t>
      </w:r>
      <w:r w:rsidRPr="00A222B0">
        <w:t xml:space="preserve"> </w:t>
      </w:r>
      <w:r w:rsidR="00A90E58" w:rsidRPr="00A222B0">
        <w:t xml:space="preserve">(v průměru </w:t>
      </w:r>
      <w:r w:rsidR="001E2303" w:rsidRPr="00A222B0">
        <w:t>35,42</w:t>
      </w:r>
      <w:r w:rsidR="00A90E58" w:rsidRPr="00A222B0">
        <w:t xml:space="preserve"> %).</w:t>
      </w:r>
    </w:p>
    <w:p w14:paraId="1EBC7740" w14:textId="3855ACAD" w:rsidR="00B01126" w:rsidRPr="00B92DBB" w:rsidRDefault="00B01126" w:rsidP="00993408">
      <w:r w:rsidRPr="00B92DBB">
        <w:t xml:space="preserve">Pro města s dluhovou službou je důležitým ukazatelem hospodaření </w:t>
      </w:r>
      <w:r w:rsidRPr="00B92DBB">
        <w:rPr>
          <w:b/>
        </w:rPr>
        <w:t>rozdíl provozního přebytku a splátek jistin</w:t>
      </w:r>
      <w:r w:rsidRPr="00B92DBB">
        <w:t>. Pro tento ukazatel platí stejné závěry jako pro provozní přebytek – jeho hodnoty by měly být vždy kladné, protože až po uhrazení splátek jistin v daném roce ukazatel vyjadřuje částku z provozního rozpočtu použitelnou na rozvoj města formou investičních výdajů</w:t>
      </w:r>
      <w:r w:rsidRPr="00941674">
        <w:t>. V analyzovaném obdo</w:t>
      </w:r>
      <w:r w:rsidRPr="00560F68">
        <w:t>bí</w:t>
      </w:r>
      <w:r w:rsidR="005B06B9" w:rsidRPr="00560F68">
        <w:t xml:space="preserve"> </w:t>
      </w:r>
      <w:r w:rsidR="00743974" w:rsidRPr="00941674">
        <w:t xml:space="preserve">nabývá </w:t>
      </w:r>
      <w:r w:rsidR="00800FB0" w:rsidRPr="00941674">
        <w:t>tento</w:t>
      </w:r>
      <w:r w:rsidRPr="00941674">
        <w:t xml:space="preserve"> ukazatel </w:t>
      </w:r>
      <w:r w:rsidR="00B92DBB" w:rsidRPr="00941674">
        <w:t>kladných hodnot</w:t>
      </w:r>
      <w:r w:rsidR="00743974" w:rsidRPr="00941674">
        <w:t>.</w:t>
      </w:r>
    </w:p>
    <w:p w14:paraId="3F378906" w14:textId="110D058C" w:rsidR="00B01126" w:rsidRDefault="00B01126" w:rsidP="00993408">
      <w:pPr>
        <w:rPr>
          <w:b/>
          <w:bCs/>
        </w:rPr>
      </w:pPr>
      <w:r w:rsidRPr="00092667">
        <w:t xml:space="preserve">V rámci posouzení hospodaření v minulosti je důležité zaměřit se na plnění a vývoj běžných (provozních) příjmů a výdajů. Pro obecné posouzení dlouhodobé udržitelnosti hospodaření platí, že nárůst běžných příjmů by měl být vyšší než nárůst běžných výdajů. V období let </w:t>
      </w:r>
      <w:r w:rsidR="001E2303">
        <w:t>2020-2024</w:t>
      </w:r>
      <w:r w:rsidRPr="00092667">
        <w:t xml:space="preserve"> byl součet provozních příjmů </w:t>
      </w:r>
      <w:r w:rsidR="001E2303">
        <w:t>1 324,2</w:t>
      </w:r>
      <w:r w:rsidRPr="00092667">
        <w:t xml:space="preserve"> mil. Kč, zatímco ve stejném období město utratilo na provozních výdajích </w:t>
      </w:r>
      <w:r w:rsidR="001E2303">
        <w:t>849,8</w:t>
      </w:r>
      <w:r w:rsidRPr="00092667">
        <w:t xml:space="preserve"> mil. Kč. </w:t>
      </w:r>
      <w:r w:rsidRPr="0077497B">
        <w:rPr>
          <w:b/>
          <w:bCs/>
        </w:rPr>
        <w:t xml:space="preserve">Jedna z podmínek udržitelného hospodaření </w:t>
      </w:r>
      <w:r w:rsidR="001E2303" w:rsidRPr="001E2303">
        <w:rPr>
          <w:b/>
          <w:bCs/>
        </w:rPr>
        <w:t>byla</w:t>
      </w:r>
      <w:r w:rsidRPr="0077497B">
        <w:rPr>
          <w:b/>
          <w:bCs/>
        </w:rPr>
        <w:t xml:space="preserve"> splněna.</w:t>
      </w:r>
    </w:p>
    <w:p w14:paraId="5207111A" w14:textId="17B94A75" w:rsidR="00D9228F" w:rsidRDefault="001E2303" w:rsidP="00AA37F7">
      <w:r>
        <w:t>Růst</w:t>
      </w:r>
      <w:r w:rsidR="00AA37F7" w:rsidRPr="00BD6885">
        <w:t xml:space="preserve"> objemu provozních příjmů od roku </w:t>
      </w:r>
      <w:r>
        <w:t>2020</w:t>
      </w:r>
      <w:r w:rsidR="00AA37F7" w:rsidRPr="00BD6885">
        <w:t xml:space="preserve"> do roku </w:t>
      </w:r>
      <w:r>
        <w:t>2024</w:t>
      </w:r>
      <w:r w:rsidR="00AA37F7" w:rsidRPr="00BD6885">
        <w:t xml:space="preserve"> byl </w:t>
      </w:r>
      <w:r>
        <w:t>112,2</w:t>
      </w:r>
      <w:r w:rsidR="00AA37F7" w:rsidRPr="00BD6885">
        <w:t xml:space="preserve"> mil. Kč, zatímco provozní výdaje ve </w:t>
      </w:r>
      <w:r w:rsidR="00AA37F7" w:rsidRPr="00A222B0">
        <w:t xml:space="preserve">stejném období </w:t>
      </w:r>
      <w:r w:rsidRPr="00A222B0">
        <w:t>vzrostly</w:t>
      </w:r>
      <w:r w:rsidR="00AA37F7" w:rsidRPr="00A222B0">
        <w:t xml:space="preserve"> o </w:t>
      </w:r>
      <w:r w:rsidRPr="00A222B0">
        <w:t>64,6</w:t>
      </w:r>
      <w:r w:rsidR="00AA37F7" w:rsidRPr="00A222B0">
        <w:t xml:space="preserve"> mil. Kč. Je zřejmé, že objem prostředků v absolutním vyjádření ve sledovaném </w:t>
      </w:r>
      <w:r w:rsidR="00AA37F7" w:rsidRPr="00A222B0">
        <w:lastRenderedPageBreak/>
        <w:t xml:space="preserve">období </w:t>
      </w:r>
      <w:r w:rsidR="00B92DBB" w:rsidRPr="00A222B0">
        <w:t>roste</w:t>
      </w:r>
      <w:r w:rsidR="00AA37F7" w:rsidRPr="00A222B0">
        <w:t xml:space="preserve">, přičemž </w:t>
      </w:r>
      <w:r w:rsidR="00AA37F7" w:rsidRPr="00A222B0">
        <w:rPr>
          <w:b/>
          <w:bCs/>
        </w:rPr>
        <w:t xml:space="preserve">provozní příjmy rostly </w:t>
      </w:r>
      <w:r w:rsidRPr="00A222B0">
        <w:rPr>
          <w:b/>
          <w:bCs/>
        </w:rPr>
        <w:t>rychlejším</w:t>
      </w:r>
      <w:r w:rsidR="00AA37F7" w:rsidRPr="00A222B0">
        <w:rPr>
          <w:b/>
          <w:bCs/>
        </w:rPr>
        <w:t xml:space="preserve"> tempem než provozní výdaje</w:t>
      </w:r>
      <w:r w:rsidR="00AA37F7" w:rsidRPr="00A222B0">
        <w:t xml:space="preserve">. </w:t>
      </w:r>
      <w:r w:rsidR="0077497B" w:rsidRPr="00A222B0">
        <w:t>Tento stav je platný navzdor</w:t>
      </w:r>
      <w:r w:rsidR="0077497B" w:rsidRPr="000F1A2E">
        <w:t>y zmiňované</w:t>
      </w:r>
      <w:r w:rsidR="0077497B" w:rsidRPr="00733506">
        <w:t xml:space="preserve"> </w:t>
      </w:r>
      <w:r w:rsidR="0077497B" w:rsidRPr="00FE6EB6">
        <w:t>pandemii a rostoucí inflaci.</w:t>
      </w:r>
    </w:p>
    <w:p w14:paraId="482F7DF3" w14:textId="77777777" w:rsidR="0073754C" w:rsidRPr="004D0FAA" w:rsidRDefault="0073754C" w:rsidP="0073754C">
      <w:pPr>
        <w:pStyle w:val="Nadpis3"/>
      </w:pPr>
      <w:r w:rsidRPr="004D0FAA">
        <w:t>Posouzení krátkodobého plánování</w:t>
      </w:r>
    </w:p>
    <w:p w14:paraId="05B9AD56" w14:textId="6F058227" w:rsidR="00477F85" w:rsidRPr="000434DD" w:rsidRDefault="00477F85" w:rsidP="00477F85">
      <w:r w:rsidRPr="000434DD">
        <w:t xml:space="preserve">Rozpočet obce je finanční plán, který sestavuje obec na rozpočtové období (kalendářní rok). Při zpracování rozpočtu obce se vychází ze střednědobého výhledu rozpočtu, tak jak definuje zákon (č. 250/2000 Sb., o rozpočtových pravidlech územních rozpočtů). Pro sestavení SVR platí obrácené pravidlo, tj základem pro sestavení SVR je aktuálně platný rozpočet. Už při sestavování rozpočtu je proto nutné dodržovat </w:t>
      </w:r>
      <w:r w:rsidRPr="000434DD">
        <w:rPr>
          <w:b/>
          <w:bCs/>
        </w:rPr>
        <w:t>pravidlo rychlejšího růstu běžných příjmů než provozních výdajů</w:t>
      </w:r>
      <w:r w:rsidRPr="000434DD">
        <w:t>. Opačný případ, kdy běžné výdaje rostou rychleji než běžné příjmy, je dlouhodobě neudržitelný. Proto je důležité věnovat náležitou pozornost sestavení střednědobé</w:t>
      </w:r>
      <w:r w:rsidR="00FD103D">
        <w:t>ho</w:t>
      </w:r>
      <w:r w:rsidRPr="000434DD">
        <w:t xml:space="preserve"> výhledu rozpočtu. Kvalitně sestavený střednědobý výhled rozpočtu, tedy vlastně víceletý finanční plán, pomáhá lépe zvládat hospodaření ÚSC a tím i eliminovat takové sestavení rozpočtu, které by mohlo ohrozit hospodaření municipality.</w:t>
      </w:r>
    </w:p>
    <w:p w14:paraId="3F3B7CE8" w14:textId="77777777" w:rsidR="00477F85" w:rsidRPr="000434DD" w:rsidRDefault="00477F85" w:rsidP="00477F85">
      <w:r w:rsidRPr="000434DD">
        <w:t>Posouzení p</w:t>
      </w:r>
      <w:r>
        <w:t>l</w:t>
      </w:r>
      <w:r w:rsidRPr="000434DD">
        <w:t>atného rozpočtu je rozděleno na část provozních hodnot a část investičních (kapitálových) hodnot, protože v kapitálové části rozpočtu zpravidla dochází během roku k velkým změnám v důsledku celé řady okolností v oblasti příprav, realizace i změn v investičních prioritách.</w:t>
      </w:r>
    </w:p>
    <w:p w14:paraId="1FAAE91A" w14:textId="6569B0F1" w:rsidR="00477F85" w:rsidRPr="007F7EE4" w:rsidRDefault="00477F85" w:rsidP="00477F85">
      <w:pPr>
        <w:pStyle w:val="Tabulka"/>
      </w:pPr>
      <w:bookmarkStart w:id="68" w:name="_Toc157684777"/>
      <w:bookmarkStart w:id="69" w:name="_Toc213758603"/>
      <w:r>
        <w:t xml:space="preserve">Porovnání </w:t>
      </w:r>
      <w:r w:rsidRPr="007F7EE4">
        <w:t>rozpoč</w:t>
      </w:r>
      <w:r>
        <w:t>tu</w:t>
      </w:r>
      <w:r w:rsidRPr="007F7EE4">
        <w:t xml:space="preserve"> a skutečnost</w:t>
      </w:r>
      <w:r>
        <w:t>i</w:t>
      </w:r>
      <w:r w:rsidRPr="007F7EE4">
        <w:t xml:space="preserve"> minulého období</w:t>
      </w:r>
      <w:r>
        <w:t xml:space="preserve"> (provozní)</w:t>
      </w:r>
      <w:bookmarkEnd w:id="68"/>
      <w:bookmarkEnd w:id="69"/>
    </w:p>
    <w:p w14:paraId="7ABD4DE1" w14:textId="53E28E6C" w:rsidR="00477F85" w:rsidRDefault="00B622B6" w:rsidP="00477F85">
      <w:r w:rsidRPr="00B622B6">
        <w:rPr>
          <w:noProof/>
        </w:rPr>
        <w:drawing>
          <wp:inline distT="0" distB="0" distL="0" distR="0" wp14:anchorId="0AF751BB" wp14:editId="0068E9EB">
            <wp:extent cx="5712460" cy="914400"/>
            <wp:effectExtent l="0" t="0" r="2540" b="0"/>
            <wp:docPr id="1174225802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18DB7" w14:textId="596DD48A" w:rsidR="00CC7627" w:rsidRPr="000434DD" w:rsidRDefault="00CC7627" w:rsidP="00CC7627">
      <w:bookmarkStart w:id="70" w:name="_Toc157684810"/>
      <w:r w:rsidRPr="000434DD">
        <w:t>V</w:t>
      </w:r>
      <w:r>
        <w:t> předcházející tabulce</w:t>
      </w:r>
      <w:r w:rsidRPr="000434DD">
        <w:t xml:space="preserve"> jsou porovnány </w:t>
      </w:r>
      <w:r w:rsidRPr="00A222B0">
        <w:t xml:space="preserve">účetní hodnoty roku </w:t>
      </w:r>
      <w:r w:rsidR="001E2303" w:rsidRPr="00A222B0">
        <w:t>2024</w:t>
      </w:r>
      <w:r w:rsidRPr="00A222B0">
        <w:t xml:space="preserve"> s hodnotami platného rozpočtu roku </w:t>
      </w:r>
      <w:r w:rsidR="001E2303" w:rsidRPr="00A222B0">
        <w:t>2025</w:t>
      </w:r>
      <w:r w:rsidRPr="00A222B0">
        <w:t xml:space="preserve">. V provozní příjmové oblasti </w:t>
      </w:r>
      <w:r w:rsidR="001E2303" w:rsidRPr="00A222B0">
        <w:t>klesají</w:t>
      </w:r>
      <w:r w:rsidRPr="00A222B0">
        <w:t xml:space="preserve"> jak Daňové </w:t>
      </w:r>
      <w:r w:rsidR="005967B1" w:rsidRPr="00A222B0">
        <w:t xml:space="preserve">(o </w:t>
      </w:r>
      <w:r w:rsidR="001E2303" w:rsidRPr="00A222B0">
        <w:t>14,9</w:t>
      </w:r>
      <w:r w:rsidR="00B15BB2" w:rsidRPr="00A222B0">
        <w:t xml:space="preserve"> </w:t>
      </w:r>
      <w:r w:rsidRPr="00A222B0">
        <w:t xml:space="preserve">mil. Kč), tak Nedaňové příjmy </w:t>
      </w:r>
      <w:r w:rsidR="005967B1" w:rsidRPr="00A222B0">
        <w:t xml:space="preserve">(o </w:t>
      </w:r>
      <w:r w:rsidR="001E2303" w:rsidRPr="00A222B0">
        <w:t>12,4</w:t>
      </w:r>
      <w:r w:rsidR="00B15BB2" w:rsidRPr="00A222B0">
        <w:t xml:space="preserve"> </w:t>
      </w:r>
      <w:r w:rsidRPr="00A222B0">
        <w:t xml:space="preserve">mil. Kč) a </w:t>
      </w:r>
      <w:r w:rsidR="001E2303" w:rsidRPr="00A222B0">
        <w:t>rostou</w:t>
      </w:r>
      <w:r w:rsidRPr="00A222B0">
        <w:t xml:space="preserve"> Neinvestiční transfery </w:t>
      </w:r>
      <w:r w:rsidR="005967B1" w:rsidRPr="00A222B0">
        <w:t xml:space="preserve">(o </w:t>
      </w:r>
      <w:r w:rsidR="001E2303" w:rsidRPr="00A222B0">
        <w:t>6,1</w:t>
      </w:r>
      <w:r w:rsidR="00B15BB2" w:rsidRPr="00A222B0">
        <w:t xml:space="preserve"> </w:t>
      </w:r>
      <w:r w:rsidRPr="00A222B0">
        <w:t>mil. Kč)</w:t>
      </w:r>
      <w:r w:rsidR="00186F36" w:rsidRPr="00A222B0">
        <w:t xml:space="preserve">. </w:t>
      </w:r>
      <w:r w:rsidR="00A222B0" w:rsidRPr="00A222B0">
        <w:t>Vývoj</w:t>
      </w:r>
      <w:r w:rsidR="005F5E83" w:rsidRPr="00A222B0">
        <w:t xml:space="preserve"> v oblasti neinvestičních transferů je </w:t>
      </w:r>
      <w:r w:rsidR="00A222B0" w:rsidRPr="00A222B0">
        <w:t>ovlivněn</w:t>
      </w:r>
      <w:r w:rsidR="005F5E83" w:rsidRPr="00A222B0">
        <w:t xml:space="preserve"> platnou metodikou začleňování transferů do rozpočtu (ÚSC </w:t>
      </w:r>
      <w:r w:rsidR="00A4606C" w:rsidRPr="00A222B0">
        <w:t xml:space="preserve">od roku 2025 má </w:t>
      </w:r>
      <w:r w:rsidR="005F5E83" w:rsidRPr="00A222B0">
        <w:t xml:space="preserve">povinnost zahrnovat </w:t>
      </w:r>
      <w:r w:rsidR="00A4606C" w:rsidRPr="00A222B0">
        <w:t xml:space="preserve">již </w:t>
      </w:r>
      <w:r w:rsidR="005F5E83" w:rsidRPr="00A222B0">
        <w:t>do rozpočtu část účelových dotací, a to zejména v oblasti sociální nebo vzdělávání</w:t>
      </w:r>
      <w:r w:rsidR="00A4606C" w:rsidRPr="00A222B0">
        <w:t>)</w:t>
      </w:r>
      <w:r w:rsidR="005F5E83" w:rsidRPr="00A222B0">
        <w:t xml:space="preserve">. </w:t>
      </w:r>
      <w:r w:rsidR="00A4606C" w:rsidRPr="00A222B0">
        <w:t xml:space="preserve">Provozní výdaje pak vykázaly výrazný </w:t>
      </w:r>
      <w:r w:rsidR="001E2303" w:rsidRPr="00A222B0">
        <w:t>nárůst</w:t>
      </w:r>
      <w:r w:rsidR="00A4606C" w:rsidRPr="00A222B0">
        <w:t xml:space="preserve"> (o </w:t>
      </w:r>
      <w:r w:rsidR="001E2303" w:rsidRPr="00A222B0">
        <w:t>63,4</w:t>
      </w:r>
      <w:r w:rsidR="00A4606C" w:rsidRPr="00A222B0">
        <w:t xml:space="preserve"> mil. Kč), v procentuálním vyjádření provozní příjmy </w:t>
      </w:r>
      <w:r w:rsidR="001E2303" w:rsidRPr="00A222B0">
        <w:t>klesají</w:t>
      </w:r>
      <w:r w:rsidR="00A4606C" w:rsidRPr="00A222B0">
        <w:t xml:space="preserve"> (</w:t>
      </w:r>
      <w:r w:rsidR="00667CB6" w:rsidRPr="00A222B0">
        <w:t xml:space="preserve">o </w:t>
      </w:r>
      <w:proofErr w:type="gramStart"/>
      <w:r w:rsidR="001E2303" w:rsidRPr="00A222B0">
        <w:t>7,1%</w:t>
      </w:r>
      <w:proofErr w:type="gramEnd"/>
      <w:r w:rsidR="00A4606C" w:rsidRPr="00A222B0">
        <w:t xml:space="preserve">), zatímco běžné výdaje </w:t>
      </w:r>
      <w:r w:rsidR="001E2303" w:rsidRPr="00A222B0">
        <w:t>rostou</w:t>
      </w:r>
      <w:r w:rsidR="00A4606C" w:rsidRPr="00A222B0">
        <w:t xml:space="preserve"> o </w:t>
      </w:r>
      <w:proofErr w:type="gramStart"/>
      <w:r w:rsidR="001E2303" w:rsidRPr="00A222B0">
        <w:t>32,3%</w:t>
      </w:r>
      <w:proofErr w:type="gramEnd"/>
      <w:r w:rsidR="00A4606C" w:rsidRPr="00A222B0">
        <w:t>.</w:t>
      </w:r>
      <w:r w:rsidR="00667CB6" w:rsidRPr="00A222B0">
        <w:t xml:space="preserve"> </w:t>
      </w:r>
      <w:r w:rsidRPr="00A222B0">
        <w:t xml:space="preserve">Provozní rozpočet díky těmto skutečnostem </w:t>
      </w:r>
      <w:r w:rsidR="001E2303" w:rsidRPr="00A222B0">
        <w:t>klesá</w:t>
      </w:r>
      <w:r w:rsidRPr="00A222B0">
        <w:t xml:space="preserve"> o </w:t>
      </w:r>
      <w:r w:rsidR="001E2303" w:rsidRPr="00A222B0">
        <w:t>84,6</w:t>
      </w:r>
      <w:r w:rsidRPr="00A222B0">
        <w:t xml:space="preserve"> mil. Kč</w:t>
      </w:r>
      <w:r w:rsidR="00A4606C" w:rsidRPr="00A222B0">
        <w:t>,</w:t>
      </w:r>
      <w:r w:rsidR="00A4606C">
        <w:t xml:space="preserve"> </w:t>
      </w:r>
    </w:p>
    <w:p w14:paraId="6C456C44" w14:textId="25B8BFFA" w:rsidR="00477F85" w:rsidRPr="007F7EE4" w:rsidRDefault="00477F85" w:rsidP="00477F85">
      <w:pPr>
        <w:pStyle w:val="Graf0"/>
      </w:pPr>
      <w:bookmarkStart w:id="71" w:name="_Toc213758625"/>
      <w:r>
        <w:t xml:space="preserve">Porovnání </w:t>
      </w:r>
      <w:r w:rsidRPr="007F7EE4">
        <w:t>rozpoč</w:t>
      </w:r>
      <w:r>
        <w:t>tu</w:t>
      </w:r>
      <w:r w:rsidRPr="007F7EE4">
        <w:t xml:space="preserve"> a skutečnost</w:t>
      </w:r>
      <w:r>
        <w:t>i</w:t>
      </w:r>
      <w:r w:rsidRPr="007F7EE4">
        <w:t xml:space="preserve"> minulého období</w:t>
      </w:r>
      <w:r>
        <w:t xml:space="preserve"> (provozní)</w:t>
      </w:r>
      <w:bookmarkEnd w:id="70"/>
      <w:bookmarkEnd w:id="71"/>
    </w:p>
    <w:p w14:paraId="3E576C02" w14:textId="457F0B2B" w:rsidR="00477F85" w:rsidRDefault="00B622B6" w:rsidP="00AC0403">
      <w:pPr>
        <w:tabs>
          <w:tab w:val="left" w:pos="208"/>
        </w:tabs>
      </w:pPr>
      <w:r w:rsidRPr="00B622B6">
        <w:rPr>
          <w:noProof/>
        </w:rPr>
        <w:drawing>
          <wp:inline distT="0" distB="0" distL="0" distR="0" wp14:anchorId="5FE1AC9B" wp14:editId="7E0AF1B5">
            <wp:extent cx="6480810" cy="1912620"/>
            <wp:effectExtent l="0" t="0" r="0" b="0"/>
            <wp:docPr id="1256917621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7C7F4" w14:textId="77777777" w:rsidR="00477F85" w:rsidRPr="00BE44FA" w:rsidRDefault="00477F85" w:rsidP="00477F85">
      <w:r w:rsidRPr="00BE44FA">
        <w:t>Posouzení kapitálového (investičního) rozpočtu je uváděno pro celkový přehled samostatně, protože během celého rozpočtového roku dochází k podstatným změnám a u této kategorie záleží zejména na investičních záměrech ÚSC.</w:t>
      </w:r>
    </w:p>
    <w:p w14:paraId="57CEBC26" w14:textId="4BEF9B3F" w:rsidR="00477F85" w:rsidRPr="007F7EE4" w:rsidRDefault="00477F85" w:rsidP="00477F85">
      <w:pPr>
        <w:pStyle w:val="Tabulka"/>
      </w:pPr>
      <w:bookmarkStart w:id="72" w:name="_Toc157684778"/>
      <w:bookmarkStart w:id="73" w:name="_Toc213758604"/>
      <w:r>
        <w:lastRenderedPageBreak/>
        <w:t xml:space="preserve">Porovnání </w:t>
      </w:r>
      <w:r w:rsidRPr="007F7EE4">
        <w:t>rozpoč</w:t>
      </w:r>
      <w:r>
        <w:t>tu</w:t>
      </w:r>
      <w:r w:rsidRPr="007F7EE4">
        <w:t xml:space="preserve"> a skutečnost</w:t>
      </w:r>
      <w:r>
        <w:t>i</w:t>
      </w:r>
      <w:r w:rsidRPr="007F7EE4">
        <w:t xml:space="preserve"> minulého období</w:t>
      </w:r>
      <w:r>
        <w:t xml:space="preserve"> (investiční)</w:t>
      </w:r>
      <w:bookmarkEnd w:id="72"/>
      <w:bookmarkEnd w:id="73"/>
    </w:p>
    <w:p w14:paraId="3114D5D9" w14:textId="2794B700" w:rsidR="00477F85" w:rsidRDefault="00B622B6" w:rsidP="00477F85">
      <w:r w:rsidRPr="00B622B6">
        <w:rPr>
          <w:noProof/>
        </w:rPr>
        <w:drawing>
          <wp:inline distT="0" distB="0" distL="0" distR="0" wp14:anchorId="409651BA" wp14:editId="690CB550">
            <wp:extent cx="6364605" cy="895985"/>
            <wp:effectExtent l="0" t="0" r="0" b="0"/>
            <wp:docPr id="1432024124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8B836" w14:textId="650079D2" w:rsidR="00DA6164" w:rsidRPr="003356D4" w:rsidRDefault="00DA6164" w:rsidP="00DA6164">
      <w:r w:rsidRPr="00D93255">
        <w:t xml:space="preserve">O kvalitě rozpočtu vypovídají ukazatele, poměřující základní hodnoty vztažené k velikosti provozního, resp. </w:t>
      </w:r>
      <w:r w:rsidRPr="003356D4">
        <w:t>celkového rozpočtu.</w:t>
      </w:r>
    </w:p>
    <w:p w14:paraId="6F3FDC30" w14:textId="00130959" w:rsidR="00DA6164" w:rsidRPr="003356D4" w:rsidRDefault="00DA6164" w:rsidP="00DA6164">
      <w:r w:rsidRPr="003356D4">
        <w:t>V následujícím grafu</w:t>
      </w:r>
      <w:r w:rsidR="009F7B4B" w:rsidRPr="003356D4">
        <w:t xml:space="preserve"> </w:t>
      </w:r>
      <w:r w:rsidRPr="003356D4">
        <w:t>hodnoty analyzovaných ukazatelů dokládají dobře</w:t>
      </w:r>
      <w:r w:rsidR="00957B08" w:rsidRPr="003356D4">
        <w:t xml:space="preserve"> </w:t>
      </w:r>
      <w:r w:rsidRPr="003356D4">
        <w:t xml:space="preserve">sestavený rozpočet. Je třeba vyzdvihnout hodnoty </w:t>
      </w:r>
      <w:r w:rsidR="009D0D17" w:rsidRPr="003356D4">
        <w:t xml:space="preserve">dluhových </w:t>
      </w:r>
      <w:r w:rsidRPr="003356D4">
        <w:t>ukazatel</w:t>
      </w:r>
      <w:r w:rsidR="009D0D17" w:rsidRPr="003356D4">
        <w:t>ů</w:t>
      </w:r>
      <w:r w:rsidRPr="003356D4">
        <w:t xml:space="preserve"> s hodnotami splňující přísná kritéria vyhodnocení rozpočtu. </w:t>
      </w:r>
      <w:r w:rsidR="003356D4" w:rsidRPr="003356D4">
        <w:t>Naopak v</w:t>
      </w:r>
      <w:r w:rsidR="00957B08" w:rsidRPr="003356D4">
        <w:t xml:space="preserve"> rámci</w:t>
      </w:r>
      <w:r w:rsidR="009D0D17" w:rsidRPr="003356D4">
        <w:t xml:space="preserve"> definovaného negativního intervalu je </w:t>
      </w:r>
      <w:r w:rsidRPr="003356D4">
        <w:t>hodnot</w:t>
      </w:r>
      <w:r w:rsidR="00957B08" w:rsidRPr="003356D4">
        <w:t>a</w:t>
      </w:r>
      <w:r w:rsidRPr="003356D4">
        <w:t xml:space="preserve"> ukazatel</w:t>
      </w:r>
      <w:r w:rsidR="009D0D17" w:rsidRPr="003356D4">
        <w:t xml:space="preserve">e </w:t>
      </w:r>
      <w:r w:rsidR="00957B08" w:rsidRPr="003356D4">
        <w:t>provozních úspor</w:t>
      </w:r>
      <w:r w:rsidRPr="003356D4">
        <w:t xml:space="preserve">. Z hodnot ukazatelů vyplývá, že rozpočet je sestaven a aktualizován </w:t>
      </w:r>
      <w:r w:rsidR="003D550C" w:rsidRPr="003356D4">
        <w:t>s určitou mírou opatrnosti</w:t>
      </w:r>
      <w:r w:rsidR="00957B08" w:rsidRPr="003356D4">
        <w:t xml:space="preserve"> </w:t>
      </w:r>
      <w:r w:rsidR="009F7B4B" w:rsidRPr="003356D4">
        <w:t xml:space="preserve">a </w:t>
      </w:r>
      <w:r w:rsidRPr="003356D4">
        <w:t>odpovídá záměrům města</w:t>
      </w:r>
      <w:r w:rsidR="009F7B4B" w:rsidRPr="003356D4">
        <w:t xml:space="preserve"> </w:t>
      </w:r>
      <w:r w:rsidR="001A5FA7" w:rsidRPr="003356D4">
        <w:t>i</w:t>
      </w:r>
      <w:r w:rsidRPr="003356D4">
        <w:t xml:space="preserve"> hodnotám rozpočtů minulosti ve stejném ročním období.</w:t>
      </w:r>
    </w:p>
    <w:p w14:paraId="5AFBBFFB" w14:textId="24D30C26" w:rsidR="0093420B" w:rsidRPr="007F7EE4" w:rsidRDefault="006E3BD2" w:rsidP="00AC0403">
      <w:pPr>
        <w:pStyle w:val="Graf0"/>
      </w:pPr>
      <w:bookmarkStart w:id="74" w:name="_Toc213758626"/>
      <w:r>
        <w:t>Hodnocení vybraných ukazatelů</w:t>
      </w:r>
      <w:bookmarkEnd w:id="74"/>
    </w:p>
    <w:p w14:paraId="0EB38368" w14:textId="298BEF47" w:rsidR="00DA6164" w:rsidRDefault="00B622B6" w:rsidP="00DA6164">
      <w:r w:rsidRPr="00B622B6">
        <w:rPr>
          <w:noProof/>
        </w:rPr>
        <w:drawing>
          <wp:inline distT="0" distB="0" distL="0" distR="0" wp14:anchorId="6542B008" wp14:editId="4DE32E04">
            <wp:extent cx="6480810" cy="2684145"/>
            <wp:effectExtent l="0" t="0" r="0" b="1905"/>
            <wp:docPr id="858803250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47F01" w14:textId="0DBC86F4" w:rsidR="00477F85" w:rsidRPr="003356D4" w:rsidRDefault="00477F85" w:rsidP="00477F85">
      <w:r w:rsidRPr="001B3CED">
        <w:t xml:space="preserve">Z předcházejícího plyne, </w:t>
      </w:r>
      <w:r w:rsidRPr="003356D4">
        <w:t xml:space="preserve">že se v roce </w:t>
      </w:r>
      <w:r w:rsidR="001E2303" w:rsidRPr="003356D4">
        <w:t>2025</w:t>
      </w:r>
      <w:r w:rsidRPr="003356D4">
        <w:t xml:space="preserve"> jedná o finanční plán v </w:t>
      </w:r>
      <w:r w:rsidR="001E2303" w:rsidRPr="003356D4">
        <w:t>devátém</w:t>
      </w:r>
      <w:r w:rsidRPr="003356D4">
        <w:t xml:space="preserve"> měsíci rozpočtového roku, hodnoty nejsou konečné. Je třeba si uvědomit, že v průběhu rozpočtového roku dochází ke změnám rozpočtu, zejména v dotační oblasti, a tato skutečnost v konečném důsledku mění základní ekonomické ukazatele a tím i celkové hospodaření města. </w:t>
      </w:r>
    </w:p>
    <w:p w14:paraId="3B5B55C9" w14:textId="77777777" w:rsidR="00B01126" w:rsidRPr="007F7EE4" w:rsidRDefault="00AA37F7" w:rsidP="009A770A">
      <w:pPr>
        <w:pStyle w:val="Tabulka"/>
      </w:pPr>
      <w:bookmarkStart w:id="75" w:name="_Toc428951044"/>
      <w:bookmarkStart w:id="76" w:name="_Toc55981699"/>
      <w:bookmarkStart w:id="77" w:name="_Toc213758605"/>
      <w:r w:rsidRPr="003356D4">
        <w:t>U</w:t>
      </w:r>
      <w:r w:rsidR="00B01126" w:rsidRPr="003356D4">
        <w:t>praven</w:t>
      </w:r>
      <w:r w:rsidRPr="003356D4">
        <w:t>ý</w:t>
      </w:r>
      <w:r w:rsidR="00B01126" w:rsidRPr="003356D4">
        <w:t xml:space="preserve"> rozpoč</w:t>
      </w:r>
      <w:r w:rsidRPr="003356D4">
        <w:t>e</w:t>
      </w:r>
      <w:r w:rsidR="00B01126" w:rsidRPr="003356D4">
        <w:t>t</w:t>
      </w:r>
      <w:r w:rsidR="00B01126" w:rsidRPr="007F7EE4">
        <w:t xml:space="preserve"> a skutečnost</w:t>
      </w:r>
      <w:bookmarkEnd w:id="75"/>
      <w:bookmarkEnd w:id="76"/>
      <w:r w:rsidR="001766C4" w:rsidRPr="007F7EE4">
        <w:t xml:space="preserve"> minulého období</w:t>
      </w:r>
      <w:bookmarkEnd w:id="77"/>
    </w:p>
    <w:p w14:paraId="39F6DA29" w14:textId="4D20630B" w:rsidR="00551164" w:rsidRPr="003300CB" w:rsidRDefault="00B622B6" w:rsidP="00551164">
      <w:pPr>
        <w:pStyle w:val="Objekt"/>
      </w:pPr>
      <w:r w:rsidRPr="00B622B6">
        <w:rPr>
          <w:noProof/>
        </w:rPr>
        <w:drawing>
          <wp:inline distT="0" distB="0" distL="0" distR="0" wp14:anchorId="4E5B2EAE" wp14:editId="7BF04F55">
            <wp:extent cx="5712460" cy="895985"/>
            <wp:effectExtent l="0" t="0" r="2540" b="0"/>
            <wp:docPr id="1678272138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C1E13" w14:textId="69851826" w:rsidR="00B01126" w:rsidRPr="003356D4" w:rsidRDefault="005319BF" w:rsidP="00522B81">
      <w:pPr>
        <w:pStyle w:val="Poznmka"/>
      </w:pPr>
      <w:r>
        <w:t>Poznámka: H</w:t>
      </w:r>
      <w:r w:rsidR="00B01126" w:rsidRPr="00522B81">
        <w:t xml:space="preserve">odnoty upraveného rozpočtu </w:t>
      </w:r>
      <w:r w:rsidR="00B01126" w:rsidRPr="003356D4">
        <w:t xml:space="preserve">jsou za </w:t>
      </w:r>
      <w:r w:rsidR="001E2303" w:rsidRPr="003356D4">
        <w:t>září</w:t>
      </w:r>
      <w:r w:rsidR="00B01126" w:rsidRPr="003356D4">
        <w:t xml:space="preserve"> jednotlivých let</w:t>
      </w:r>
    </w:p>
    <w:p w14:paraId="27BAAE2C" w14:textId="1263794B" w:rsidR="00AB6D18" w:rsidRPr="004147F8" w:rsidRDefault="006B672D" w:rsidP="00AB6D18">
      <w:r w:rsidRPr="003356D4">
        <w:t>Dokladem</w:t>
      </w:r>
      <w:r w:rsidR="00F005FB" w:rsidRPr="003356D4">
        <w:t xml:space="preserve"> zlepšeného plnění rozpočt</w:t>
      </w:r>
      <w:r w:rsidR="00DE1B94" w:rsidRPr="003356D4">
        <w:t>u</w:t>
      </w:r>
      <w:r w:rsidRPr="003356D4">
        <w:t xml:space="preserve"> </w:t>
      </w:r>
      <w:r w:rsidR="00DE1B94" w:rsidRPr="003356D4">
        <w:t xml:space="preserve">v průběhu roku </w:t>
      </w:r>
      <w:r w:rsidRPr="003356D4">
        <w:t>jsou hodnoty zobrazené v předcházející tabulce.</w:t>
      </w:r>
      <w:r w:rsidR="000111C0" w:rsidRPr="003356D4">
        <w:t xml:space="preserve"> </w:t>
      </w:r>
      <w:r w:rsidR="00C84546" w:rsidRPr="003356D4">
        <w:t>Nej</w:t>
      </w:r>
      <w:r w:rsidR="003356D4" w:rsidRPr="003356D4">
        <w:t>nižší</w:t>
      </w:r>
      <w:r w:rsidR="00C84546" w:rsidRPr="003356D4">
        <w:t xml:space="preserve"> rozdíl</w:t>
      </w:r>
      <w:r w:rsidR="003E289D" w:rsidRPr="003356D4">
        <w:t xml:space="preserve"> </w:t>
      </w:r>
      <w:r w:rsidR="00C84546" w:rsidRPr="003356D4">
        <w:t xml:space="preserve">mezi </w:t>
      </w:r>
      <w:r w:rsidR="000111C0" w:rsidRPr="003356D4">
        <w:t xml:space="preserve">skutečnou </w:t>
      </w:r>
      <w:r w:rsidR="00DE1B94" w:rsidRPr="003356D4">
        <w:t xml:space="preserve">hodnotou na konci roku </w:t>
      </w:r>
      <w:r w:rsidR="00F005FB" w:rsidRPr="003356D4">
        <w:t xml:space="preserve">a rozpočtovanou </w:t>
      </w:r>
      <w:r w:rsidR="0038254D" w:rsidRPr="003356D4">
        <w:t>č</w:t>
      </w:r>
      <w:r w:rsidR="00DE1B94" w:rsidRPr="003356D4">
        <w:t>ástkou</w:t>
      </w:r>
      <w:r w:rsidR="000111C0" w:rsidRPr="003356D4">
        <w:t xml:space="preserve"> </w:t>
      </w:r>
      <w:r w:rsidR="00CF1E7C" w:rsidRPr="003356D4">
        <w:t>v</w:t>
      </w:r>
      <w:r w:rsidR="00362A5F" w:rsidRPr="003356D4">
        <w:t> </w:t>
      </w:r>
      <w:r w:rsidR="00CF1E7C" w:rsidRPr="003356D4">
        <w:t>průměru</w:t>
      </w:r>
      <w:r w:rsidR="00362A5F" w:rsidRPr="003356D4">
        <w:t xml:space="preserve"> </w:t>
      </w:r>
      <w:r w:rsidR="00BC0607" w:rsidRPr="003356D4">
        <w:t xml:space="preserve">dosahují </w:t>
      </w:r>
      <w:r w:rsidR="00571D3B" w:rsidRPr="003356D4">
        <w:t xml:space="preserve">neinvestiční </w:t>
      </w:r>
      <w:r w:rsidR="000111C0" w:rsidRPr="003356D4">
        <w:t>transfery (</w:t>
      </w:r>
      <w:r w:rsidR="001E2303" w:rsidRPr="003356D4">
        <w:t>11,1 %</w:t>
      </w:r>
      <w:r w:rsidR="000111C0" w:rsidRPr="003356D4">
        <w:t xml:space="preserve">). </w:t>
      </w:r>
      <w:r w:rsidR="005F5E83" w:rsidRPr="003356D4">
        <w:t>Je to z</w:t>
      </w:r>
      <w:r w:rsidR="00CC1908" w:rsidRPr="003356D4">
        <w:t> </w:t>
      </w:r>
      <w:r w:rsidR="005F5E83" w:rsidRPr="003356D4">
        <w:t xml:space="preserve">důvodu </w:t>
      </w:r>
      <w:r w:rsidR="00CC1908" w:rsidRPr="003356D4">
        <w:t>metodiky</w:t>
      </w:r>
      <w:r w:rsidR="003356D4" w:rsidRPr="003356D4">
        <w:t xml:space="preserve"> platné do roku 2025</w:t>
      </w:r>
      <w:r w:rsidR="00CC1908" w:rsidRPr="003356D4">
        <w:t>, která stanov</w:t>
      </w:r>
      <w:r w:rsidR="003356D4" w:rsidRPr="003356D4">
        <w:t xml:space="preserve">ovala </w:t>
      </w:r>
      <w:r w:rsidR="005F5E83" w:rsidRPr="003356D4">
        <w:t xml:space="preserve">rozpočtovat </w:t>
      </w:r>
      <w:r w:rsidR="003356D4" w:rsidRPr="003356D4">
        <w:t>částky až ve chvíli obdržení rozhodnutí od poskytovatele (zářijové hodnoty tak reflektovaly většinu obdržených transferů).</w:t>
      </w:r>
      <w:r w:rsidR="005F5E83" w:rsidRPr="003356D4">
        <w:t xml:space="preserve"> </w:t>
      </w:r>
      <w:r w:rsidR="00DE1B94" w:rsidRPr="003356D4">
        <w:t>Zlepšené plnění</w:t>
      </w:r>
      <w:r w:rsidR="00D53E85" w:rsidRPr="003356D4">
        <w:t xml:space="preserve"> </w:t>
      </w:r>
      <w:r w:rsidR="00DE1B94" w:rsidRPr="003356D4">
        <w:t xml:space="preserve">je </w:t>
      </w:r>
      <w:r w:rsidR="00DE1B94" w:rsidRPr="004147F8">
        <w:t xml:space="preserve">možné sledovat také u </w:t>
      </w:r>
      <w:r w:rsidR="00D53E85" w:rsidRPr="004147F8">
        <w:t>daňov</w:t>
      </w:r>
      <w:r w:rsidR="00DE1B94" w:rsidRPr="004147F8">
        <w:t>ých</w:t>
      </w:r>
      <w:r w:rsidR="00D53E85" w:rsidRPr="004147F8">
        <w:t xml:space="preserve"> </w:t>
      </w:r>
      <w:r w:rsidR="0004136F" w:rsidRPr="004147F8">
        <w:t xml:space="preserve">(vyšší o </w:t>
      </w:r>
      <w:r w:rsidR="001E2303" w:rsidRPr="004147F8">
        <w:t>18,7 %</w:t>
      </w:r>
      <w:r w:rsidR="00D53E85" w:rsidRPr="004147F8">
        <w:t xml:space="preserve">) a </w:t>
      </w:r>
      <w:r w:rsidR="00462E68" w:rsidRPr="004147F8">
        <w:t xml:space="preserve">především </w:t>
      </w:r>
      <w:r w:rsidR="00DE1B94" w:rsidRPr="004147F8">
        <w:t>nedaňových</w:t>
      </w:r>
      <w:r w:rsidR="00D53E85" w:rsidRPr="004147F8">
        <w:t xml:space="preserve"> </w:t>
      </w:r>
      <w:r w:rsidR="00DE1B94" w:rsidRPr="004147F8">
        <w:t>příjmů</w:t>
      </w:r>
      <w:r w:rsidR="00D53E85" w:rsidRPr="004147F8">
        <w:t xml:space="preserve"> (</w:t>
      </w:r>
      <w:r w:rsidR="001E2303" w:rsidRPr="004147F8">
        <w:t>44,4 %</w:t>
      </w:r>
      <w:r w:rsidR="00D53E85" w:rsidRPr="004147F8">
        <w:t xml:space="preserve">). Kapitálová část rozpočtu není uváděna záměrně, protože při porovnání rozpočtu se skutečností zpravidla </w:t>
      </w:r>
      <w:r w:rsidR="00D53E85" w:rsidRPr="004147F8">
        <w:lastRenderedPageBreak/>
        <w:t xml:space="preserve">dochází k </w:t>
      </w:r>
      <w:r w:rsidR="00AB6D18" w:rsidRPr="004147F8">
        <w:t>velk</w:t>
      </w:r>
      <w:r w:rsidR="00D53E85" w:rsidRPr="004147F8">
        <w:t xml:space="preserve">ým </w:t>
      </w:r>
      <w:r w:rsidR="00AB6D18" w:rsidRPr="004147F8">
        <w:t>rozdí</w:t>
      </w:r>
      <w:r w:rsidR="00D53E85" w:rsidRPr="004147F8">
        <w:t>lům</w:t>
      </w:r>
      <w:r w:rsidR="00AB6D18" w:rsidRPr="004147F8">
        <w:t xml:space="preserve"> </w:t>
      </w:r>
      <w:r w:rsidR="00D53E85" w:rsidRPr="004147F8">
        <w:t xml:space="preserve">v </w:t>
      </w:r>
      <w:r w:rsidR="00AB6D18" w:rsidRPr="004147F8">
        <w:t>důsledk</w:t>
      </w:r>
      <w:r w:rsidR="00414CC4" w:rsidRPr="004147F8">
        <w:t>u</w:t>
      </w:r>
      <w:r w:rsidR="00AB6D18" w:rsidRPr="004147F8">
        <w:t xml:space="preserve"> celé řady okolností v oblasti příprav, realizace i změn v</w:t>
      </w:r>
      <w:r w:rsidR="00CB6EE3" w:rsidRPr="004147F8">
        <w:t xml:space="preserve"> investičních </w:t>
      </w:r>
      <w:r w:rsidR="00AB6D18" w:rsidRPr="004147F8">
        <w:t>prioritách během roku.</w:t>
      </w:r>
    </w:p>
    <w:p w14:paraId="06C2A4C3" w14:textId="5BFD0443" w:rsidR="00477F85" w:rsidRPr="004147F8" w:rsidRDefault="00477F85" w:rsidP="00477F85">
      <w:r w:rsidRPr="004147F8">
        <w:t xml:space="preserve">Hodnoty ukazatelů v roce 2020 jsou ovlivněny pandemickou krizí, která propukla v březnu téhož roku. Proto je </w:t>
      </w:r>
      <w:r w:rsidR="00584D27" w:rsidRPr="004147F8">
        <w:t>schválený/</w:t>
      </w:r>
      <w:r w:rsidRPr="004147F8">
        <w:t xml:space="preserve">upravený rozpočet v tomto roce specifický a hodnoty daňových a nedaňových příjmů </w:t>
      </w:r>
      <w:r w:rsidR="00CC1908" w:rsidRPr="004147F8">
        <w:t>jsou oproti zbytku sledovaného období méně podhodnocené</w:t>
      </w:r>
      <w:r w:rsidR="003356D4" w:rsidRPr="004147F8">
        <w:t>, případně</w:t>
      </w:r>
      <w:r w:rsidR="00CC1908" w:rsidRPr="004147F8">
        <w:t xml:space="preserve"> </w:t>
      </w:r>
      <w:r w:rsidRPr="004147F8">
        <w:t xml:space="preserve">se jeví jako </w:t>
      </w:r>
      <w:r w:rsidR="003356D4" w:rsidRPr="004147F8">
        <w:t xml:space="preserve">mírně </w:t>
      </w:r>
      <w:r w:rsidRPr="004147F8">
        <w:t>nadhodnocené.</w:t>
      </w:r>
    </w:p>
    <w:p w14:paraId="3FB89DB5" w14:textId="7DA7259E" w:rsidR="00CF14D3" w:rsidRDefault="00B01126" w:rsidP="00CF14D3">
      <w:r w:rsidRPr="004147F8">
        <w:t xml:space="preserve">Porovnání upraveného rozpočtu za stejné období s účetními výsledky v rámci minulých let pak poukazuje na skutečnost, že </w:t>
      </w:r>
      <w:r w:rsidR="000111C0" w:rsidRPr="004147F8">
        <w:t>platný</w:t>
      </w:r>
      <w:r w:rsidRPr="004147F8">
        <w:t xml:space="preserve"> rozpo</w:t>
      </w:r>
      <w:r w:rsidR="005F2E00" w:rsidRPr="004147F8">
        <w:t xml:space="preserve">čet odráží </w:t>
      </w:r>
      <w:r w:rsidRPr="004147F8">
        <w:t>určitou míru opatrnosti</w:t>
      </w:r>
      <w:r w:rsidR="00556A1E" w:rsidRPr="004147F8">
        <w:t>,</w:t>
      </w:r>
      <w:r w:rsidRPr="004147F8">
        <w:t xml:space="preserve"> a tu</w:t>
      </w:r>
      <w:r w:rsidR="005F2E00" w:rsidRPr="004147F8">
        <w:t xml:space="preserve">díž plánované běžné příjmy jsou </w:t>
      </w:r>
      <w:r w:rsidRPr="004147F8">
        <w:t>podhodnocené (</w:t>
      </w:r>
      <w:r w:rsidR="00B72F5C" w:rsidRPr="004147F8">
        <w:t xml:space="preserve">v průměru o </w:t>
      </w:r>
      <w:r w:rsidR="001E2303" w:rsidRPr="004147F8">
        <w:t>21,2 %</w:t>
      </w:r>
      <w:r w:rsidRPr="004147F8">
        <w:t xml:space="preserve">) a </w:t>
      </w:r>
      <w:r w:rsidR="0038254D" w:rsidRPr="004147F8">
        <w:t>běž</w:t>
      </w:r>
      <w:r w:rsidR="00DE1B94" w:rsidRPr="004147F8">
        <w:t xml:space="preserve">né </w:t>
      </w:r>
      <w:r w:rsidRPr="004147F8">
        <w:t xml:space="preserve">výdaje </w:t>
      </w:r>
      <w:r w:rsidR="00B72F5C" w:rsidRPr="004147F8">
        <w:t xml:space="preserve">pak jsou </w:t>
      </w:r>
      <w:r w:rsidR="0004136F" w:rsidRPr="004147F8">
        <w:t>rozpočtovány</w:t>
      </w:r>
      <w:r w:rsidR="00B72F5C" w:rsidRPr="004147F8">
        <w:t xml:space="preserve"> </w:t>
      </w:r>
      <w:r w:rsidR="00C63D5C" w:rsidRPr="004147F8">
        <w:t>nadhodnocen</w:t>
      </w:r>
      <w:r w:rsidR="007E238E" w:rsidRPr="004147F8">
        <w:t>é</w:t>
      </w:r>
      <w:r w:rsidRPr="004147F8">
        <w:t xml:space="preserve"> (</w:t>
      </w:r>
      <w:r w:rsidR="00B72F5C" w:rsidRPr="004147F8">
        <w:t xml:space="preserve">v průměru jsou nadhodnocené o </w:t>
      </w:r>
      <w:r w:rsidR="001E2303" w:rsidRPr="004147F8">
        <w:t>10,0 %</w:t>
      </w:r>
      <w:r w:rsidR="00B72F5C" w:rsidRPr="004147F8">
        <w:t>)</w:t>
      </w:r>
      <w:r w:rsidRPr="004147F8">
        <w:t>.</w:t>
      </w:r>
      <w:r w:rsidR="00CF14D3" w:rsidRPr="004147F8">
        <w:t xml:space="preserve"> V konečném výsledku ovšem hospodaření dosahuje optimističtějších hodnot oproti </w:t>
      </w:r>
      <w:r w:rsidR="002F187B" w:rsidRPr="004147F8">
        <w:t xml:space="preserve">aktuálnímu </w:t>
      </w:r>
      <w:r w:rsidR="00CF14D3" w:rsidRPr="004147F8">
        <w:t>plánu rozpočtového období.</w:t>
      </w:r>
    </w:p>
    <w:p w14:paraId="123BE85A" w14:textId="1B8D7E31" w:rsidR="00D64E9D" w:rsidRPr="0086511A" w:rsidRDefault="00EC71DD" w:rsidP="008651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D412A4F" wp14:editId="492C3A1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479550" cy="1644650"/>
                <wp:effectExtent l="0" t="0" r="6350" b="0"/>
                <wp:wrapSquare wrapText="bothSides"/>
                <wp:docPr id="19552676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CAFA2" w14:textId="77777777" w:rsidR="0086511A" w:rsidRPr="00EC71DD" w:rsidRDefault="0086511A" w:rsidP="00957F27">
                            <w:pPr>
                              <w:pStyle w:val="Citt"/>
                            </w:pPr>
                            <w:r w:rsidRPr="00EC71DD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Nutný důsledný monitoring plnění rozpočtu – okamžité reagování na odchylky od platného rozpočtu.</w:t>
                            </w:r>
                          </w:p>
                          <w:p w14:paraId="7CA2C484" w14:textId="77777777" w:rsidR="0086511A" w:rsidRPr="00EC71DD" w:rsidRDefault="0086511A" w:rsidP="0086511A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12A4F" id="_x0000_s1034" type="#_x0000_t202" style="position:absolute;left:0;text-align:left;margin-left:65.3pt;margin-top:0;width:116.5pt;height:129.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" stroked="f">
                <v:textbox>
                  <w:txbxContent>
                    <w:p w14:paraId="73FCAFA2" w14:textId="77777777" w:rsidR="0086511A" w:rsidRPr="00EC71DD" w:rsidRDefault="0086511A" w:rsidP="00957F27">
                      <w:pPr>
                        <w:pStyle w:val="Citt"/>
                      </w:pPr>
                      <w:r w:rsidRPr="00EC71DD">
                        <w:rPr>
                          <w:rStyle w:val="Odkaznakoment"/>
                          <w:sz w:val="22"/>
                          <w:szCs w:val="22"/>
                        </w:rPr>
                        <w:t>Nutný důsledný monitoring plnění rozpočtu – okamžité reagování na odchylky od platného rozpočtu.</w:t>
                      </w:r>
                    </w:p>
                    <w:p w14:paraId="7CA2C484" w14:textId="77777777" w:rsidR="0086511A" w:rsidRPr="00EC71DD" w:rsidRDefault="0086511A" w:rsidP="0086511A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4A1D" w:rsidRPr="003171E6">
        <w:t xml:space="preserve">Závěr posouzení aktuálního rozpočtu: </w:t>
      </w:r>
      <w:r w:rsidR="004C4A1D" w:rsidRPr="001F1987">
        <w:t>Pozornost musí být primárně soustředěna na sestavení plánovacího dokumentu (rozpočtu), ze kterého vychází SVR. V rámci analýzy minulého období jsme posuzovali také rozpočet na aktuální rok. Při absolutním meziročním porovnání dle tříd rozpočtové skladby dosahuje pozitivního vývoje třída, kapitálových</w:t>
      </w:r>
      <w:r w:rsidR="00222A72" w:rsidRPr="001F1987">
        <w:t xml:space="preserve"> (</w:t>
      </w:r>
      <w:r w:rsidR="001F1987" w:rsidRPr="001F1987">
        <w:t xml:space="preserve">o </w:t>
      </w:r>
      <w:proofErr w:type="gramStart"/>
      <w:r w:rsidR="001E2303" w:rsidRPr="001F1987">
        <w:t>4954,5%</w:t>
      </w:r>
      <w:proofErr w:type="gramEnd"/>
      <w:r w:rsidR="00222A72" w:rsidRPr="001F1987">
        <w:t>)</w:t>
      </w:r>
      <w:r w:rsidR="004C4A1D" w:rsidRPr="001F1987">
        <w:t xml:space="preserve"> příjmů</w:t>
      </w:r>
      <w:r w:rsidR="004147F8" w:rsidRPr="001F1987">
        <w:t xml:space="preserve"> a</w:t>
      </w:r>
      <w:r w:rsidR="004C4A1D" w:rsidRPr="001F1987">
        <w:t xml:space="preserve"> </w:t>
      </w:r>
      <w:r w:rsidR="00222A72" w:rsidRPr="001F1987">
        <w:t xml:space="preserve">přijatých </w:t>
      </w:r>
      <w:r w:rsidR="004C4A1D" w:rsidRPr="001F1987">
        <w:t>transferů</w:t>
      </w:r>
      <w:r w:rsidR="00222A72" w:rsidRPr="001F1987">
        <w:t xml:space="preserve"> (</w:t>
      </w:r>
      <w:r w:rsidR="001F1987" w:rsidRPr="001F1987">
        <w:t xml:space="preserve">o </w:t>
      </w:r>
      <w:proofErr w:type="gramStart"/>
      <w:r w:rsidR="001E2303" w:rsidRPr="001F1987">
        <w:t>205,1%</w:t>
      </w:r>
      <w:proofErr w:type="gramEnd"/>
      <w:r w:rsidR="00222A72" w:rsidRPr="001F1987">
        <w:t>)</w:t>
      </w:r>
      <w:r w:rsidR="001F1987" w:rsidRPr="001F1987">
        <w:t>, což souvisí s plánem realizace investic</w:t>
      </w:r>
      <w:r w:rsidR="004C4A1D" w:rsidRPr="001F1987">
        <w:t xml:space="preserve">. </w:t>
      </w:r>
      <w:r w:rsidR="004147F8" w:rsidRPr="001F1987">
        <w:t>P</w:t>
      </w:r>
      <w:r w:rsidR="004C4A1D" w:rsidRPr="001F1987">
        <w:t xml:space="preserve">okles </w:t>
      </w:r>
      <w:r w:rsidR="004147F8" w:rsidRPr="001F1987">
        <w:t>daňových (-</w:t>
      </w:r>
      <w:proofErr w:type="gramStart"/>
      <w:r w:rsidR="004147F8" w:rsidRPr="001F1987">
        <w:t>7,4%</w:t>
      </w:r>
      <w:proofErr w:type="gramEnd"/>
      <w:r w:rsidR="004147F8" w:rsidRPr="001F1987">
        <w:t>) a nedaňových (-</w:t>
      </w:r>
      <w:proofErr w:type="gramStart"/>
      <w:r w:rsidR="004147F8" w:rsidRPr="001F1987">
        <w:t>21,1%</w:t>
      </w:r>
      <w:proofErr w:type="gramEnd"/>
      <w:r w:rsidR="004147F8" w:rsidRPr="001F1987">
        <w:t>)</w:t>
      </w:r>
      <w:r w:rsidR="004C4A1D" w:rsidRPr="001F1987">
        <w:t xml:space="preserve"> příjmů souvisí s poklesem </w:t>
      </w:r>
      <w:r w:rsidR="004147F8" w:rsidRPr="001F1987">
        <w:t>příjmů z hazardu a přijatých sankčních plateb</w:t>
      </w:r>
      <w:r w:rsidR="001F1987" w:rsidRPr="001F1987">
        <w:t xml:space="preserve">. </w:t>
      </w:r>
      <w:r w:rsidR="002E6336" w:rsidRPr="001F1987">
        <w:t xml:space="preserve">Provozní příjmy </w:t>
      </w:r>
      <w:r w:rsidR="001E2303" w:rsidRPr="001F1987">
        <w:t>klesají</w:t>
      </w:r>
      <w:r w:rsidR="002E6336" w:rsidRPr="001F1987">
        <w:t xml:space="preserve"> (o </w:t>
      </w:r>
      <w:r w:rsidR="001E2303" w:rsidRPr="001F1987">
        <w:t>7,1</w:t>
      </w:r>
      <w:r w:rsidR="004147F8" w:rsidRPr="001F1987">
        <w:t xml:space="preserve"> </w:t>
      </w:r>
      <w:r w:rsidR="001E2303" w:rsidRPr="001F1987">
        <w:t>%</w:t>
      </w:r>
      <w:r w:rsidR="002E6336" w:rsidRPr="001F1987">
        <w:t xml:space="preserve">) a </w:t>
      </w:r>
      <w:r w:rsidR="003171E6" w:rsidRPr="001F1987">
        <w:t>c</w:t>
      </w:r>
      <w:r w:rsidR="004C4A1D" w:rsidRPr="001F1987">
        <w:t>elkov</w:t>
      </w:r>
      <w:r w:rsidR="00222A72" w:rsidRPr="001F1987">
        <w:t>é</w:t>
      </w:r>
      <w:r w:rsidR="00DE7AF9" w:rsidRPr="001F1987">
        <w:t xml:space="preserve"> změny</w:t>
      </w:r>
      <w:r w:rsidR="00222A72" w:rsidRPr="001F1987">
        <w:t xml:space="preserve"> příjm</w:t>
      </w:r>
      <w:r w:rsidR="00DE7AF9" w:rsidRPr="001F1987">
        <w:t>ů představují</w:t>
      </w:r>
      <w:r w:rsidR="004C4A1D" w:rsidRPr="001F1987">
        <w:t xml:space="preserve"> </w:t>
      </w:r>
      <w:r w:rsidR="001E2303" w:rsidRPr="001F1987">
        <w:t>růst</w:t>
      </w:r>
      <w:r w:rsidR="004C4A1D" w:rsidRPr="001F1987">
        <w:t xml:space="preserve"> </w:t>
      </w:r>
      <w:r w:rsidR="00AD6B89" w:rsidRPr="001F1987">
        <w:t xml:space="preserve">o </w:t>
      </w:r>
      <w:r w:rsidR="001E2303" w:rsidRPr="001F1987">
        <w:t>67,7</w:t>
      </w:r>
      <w:r w:rsidR="002C3A1E" w:rsidRPr="001F1987">
        <w:t xml:space="preserve"> </w:t>
      </w:r>
      <w:r w:rsidR="004C4A1D" w:rsidRPr="001F1987">
        <w:t>mil. Kč. Výdaje</w:t>
      </w:r>
      <w:r w:rsidR="0004136F" w:rsidRPr="001F1987">
        <w:t xml:space="preserve"> naopak výrazně</w:t>
      </w:r>
      <w:r w:rsidR="004C4A1D" w:rsidRPr="001F1987">
        <w:t xml:space="preserve"> </w:t>
      </w:r>
      <w:r w:rsidR="001E2303" w:rsidRPr="001F1987">
        <w:t>rostou</w:t>
      </w:r>
      <w:r w:rsidR="004C4A1D" w:rsidRPr="001F1987">
        <w:t xml:space="preserve"> v</w:t>
      </w:r>
      <w:r w:rsidR="00222A72" w:rsidRPr="001F1987">
        <w:t> </w:t>
      </w:r>
      <w:r w:rsidR="004C4A1D" w:rsidRPr="001F1987">
        <w:t>provozní</w:t>
      </w:r>
      <w:r w:rsidR="00222A72" w:rsidRPr="001F1987">
        <w:t xml:space="preserve"> (</w:t>
      </w:r>
      <w:proofErr w:type="gramStart"/>
      <w:r w:rsidR="001E2303" w:rsidRPr="001F1987">
        <w:t>32,3%</w:t>
      </w:r>
      <w:proofErr w:type="gramEnd"/>
      <w:r w:rsidR="00222A72" w:rsidRPr="001F1987">
        <w:t>)</w:t>
      </w:r>
      <w:r w:rsidR="004C4A1D" w:rsidRPr="001F1987">
        <w:t xml:space="preserve"> </w:t>
      </w:r>
      <w:r w:rsidR="001F1987" w:rsidRPr="001F1987">
        <w:t>a především</w:t>
      </w:r>
      <w:r w:rsidR="004C4A1D" w:rsidRPr="001F1987">
        <w:t xml:space="preserve"> kapitálové</w:t>
      </w:r>
      <w:r w:rsidR="00222A72" w:rsidRPr="001F1987">
        <w:t xml:space="preserve"> (</w:t>
      </w:r>
      <w:proofErr w:type="gramStart"/>
      <w:r w:rsidR="001E2303" w:rsidRPr="001F1987">
        <w:t>124,2%</w:t>
      </w:r>
      <w:proofErr w:type="gramEnd"/>
      <w:r w:rsidR="00222A72" w:rsidRPr="001F1987">
        <w:t>)</w:t>
      </w:r>
      <w:r w:rsidR="004C4A1D" w:rsidRPr="001F1987">
        <w:t xml:space="preserve"> části rozpočtu, celkový </w:t>
      </w:r>
      <w:r w:rsidR="001E2303" w:rsidRPr="001F1987">
        <w:t>růst</w:t>
      </w:r>
      <w:r w:rsidR="004C4A1D" w:rsidRPr="001F1987">
        <w:t xml:space="preserve"> výdajů je </w:t>
      </w:r>
      <w:r w:rsidR="001E2303" w:rsidRPr="001F1987">
        <w:t>230,8</w:t>
      </w:r>
      <w:r w:rsidR="004C4A1D" w:rsidRPr="001F1987">
        <w:t xml:space="preserve"> mil. Kč.</w:t>
      </w:r>
    </w:p>
    <w:p w14:paraId="4EF44F2D" w14:textId="556D0240" w:rsidR="00DD612D" w:rsidRPr="00BD4596" w:rsidRDefault="00DD612D" w:rsidP="00DD612D">
      <w:pPr>
        <w:rPr>
          <w:i/>
          <w:iCs/>
        </w:rPr>
      </w:pPr>
      <w:r w:rsidRPr="003171E6">
        <w:t xml:space="preserve">Posuzovali jsme hodnoty platného rozpočtu s dosaženými hodnotami účetní skutečnosti na konci rozpočtového roku. Bylo konstatováno, že rozpočet odráží určitou </w:t>
      </w:r>
      <w:r w:rsidRPr="003171E6">
        <w:rPr>
          <w:b/>
          <w:bCs/>
        </w:rPr>
        <w:t>míru opatrnosti</w:t>
      </w:r>
      <w:r w:rsidRPr="003171E6">
        <w:t xml:space="preserve"> (podhodnocené příjmy a mírně nadhodnocené výdaje). Je</w:t>
      </w:r>
      <w:r w:rsidR="00556A1E">
        <w:t xml:space="preserve"> ale</w:t>
      </w:r>
      <w:r w:rsidRPr="003171E6">
        <w:t xml:space="preserve"> třeba dodržovat jedno důležité pravidlo – provozní (běžné) výdaje </w:t>
      </w:r>
      <w:r w:rsidRPr="003171E6">
        <w:rPr>
          <w:b/>
          <w:bCs/>
        </w:rPr>
        <w:t>nesmí růst rychleji</w:t>
      </w:r>
      <w:r w:rsidRPr="003171E6">
        <w:t xml:space="preserve"> než provozní (běžné) příjmy.</w:t>
      </w:r>
    </w:p>
    <w:p w14:paraId="1EA9A426" w14:textId="77777777" w:rsidR="00B01126" w:rsidRPr="00493382" w:rsidRDefault="00B01126" w:rsidP="00993408">
      <w:pPr>
        <w:pStyle w:val="Nadpis2"/>
      </w:pPr>
      <w:bookmarkStart w:id="78" w:name="_Toc62211718"/>
      <w:bookmarkStart w:id="79" w:name="_Toc213758990"/>
      <w:r w:rsidRPr="00493382">
        <w:t>Monitoring hospodaření</w:t>
      </w:r>
      <w:bookmarkEnd w:id="78"/>
      <w:bookmarkEnd w:id="79"/>
    </w:p>
    <w:p w14:paraId="6D0AFEF9" w14:textId="77777777" w:rsidR="00B01126" w:rsidRPr="00493382" w:rsidRDefault="00B01126" w:rsidP="00993408">
      <w:r w:rsidRPr="00493382">
        <w:t xml:space="preserve">S cílem zabezpečit rozpočtovou disciplínu, omezit dlouhodobě deficitní hospodaření financované z cizích zdrojů a posílit spoluzodpovědnost za vývoj veřejných financí, byl s účinností od roku 2018 přijat zákon č. 23/2017 Sb., o pravidlech rozpočtové odpovědnosti. Zákon </w:t>
      </w:r>
      <w:r w:rsidRPr="00493382">
        <w:rPr>
          <w:bCs/>
        </w:rPr>
        <w:t>mimo jiné</w:t>
      </w:r>
      <w:r w:rsidRPr="00493382">
        <w:rPr>
          <w:b/>
          <w:bCs/>
        </w:rPr>
        <w:t xml:space="preserve"> </w:t>
      </w:r>
      <w:r w:rsidR="00EC2FAD" w:rsidRPr="00493382">
        <w:t>definuje tzv.</w:t>
      </w:r>
      <w:r w:rsidRPr="00493382">
        <w:t xml:space="preserve"> fiskální pravidlo, podle kterého musí ÚSC hospodařit tak, aby výše jeho dluhu nepřesáhla 60 % průměru jeho příjmů za poslední 4 rozpočtové roky. Pokud je tato hranice překročena:</w:t>
      </w:r>
    </w:p>
    <w:p w14:paraId="59E48700" w14:textId="77777777" w:rsidR="00054C2C" w:rsidRPr="00493382" w:rsidRDefault="00B01126">
      <w:pPr>
        <w:pStyle w:val="Kaskda0"/>
        <w:numPr>
          <w:ilvl w:val="0"/>
          <w:numId w:val="23"/>
        </w:numPr>
      </w:pPr>
      <w:r w:rsidRPr="00493382">
        <w:t xml:space="preserve">ÚSC má povinnost postupně splácet předchozí </w:t>
      </w:r>
      <w:r w:rsidRPr="007604F7">
        <w:t xml:space="preserve">dluhy </w:t>
      </w:r>
      <w:r w:rsidR="007604F7" w:rsidRPr="007604F7">
        <w:t xml:space="preserve">ve výši nejméně </w:t>
      </w:r>
      <w:r w:rsidRPr="007604F7">
        <w:t>5 % z rozdílu mezi výší dluhu a 60 % jeho průměrných příjmů za poslední</w:t>
      </w:r>
      <w:r w:rsidRPr="00493382">
        <w:t xml:space="preserve"> 4 rozpočtové ro</w:t>
      </w:r>
      <w:r w:rsidR="00054C2C" w:rsidRPr="00493382">
        <w:t>ky.</w:t>
      </w:r>
    </w:p>
    <w:p w14:paraId="58B2B662" w14:textId="6A0E4E8E" w:rsidR="00D64E9D" w:rsidRDefault="00B01126" w:rsidP="004D69EB">
      <w:pPr>
        <w:pStyle w:val="Kaskda0"/>
        <w:numPr>
          <w:ilvl w:val="0"/>
          <w:numId w:val="23"/>
        </w:numPr>
      </w:pPr>
      <w:r w:rsidRPr="00493382">
        <w:t>Pokud ÚSC nesnižuje dluhy alespoň o zákonné minimum, MF ČR v následujícím kalendářním roce rozhodne o pozastavení převodu jeho podílu na výnosu daní.</w:t>
      </w:r>
    </w:p>
    <w:p w14:paraId="5B29E928" w14:textId="02A74AA4" w:rsidR="00596EF5" w:rsidRPr="007F7EE4" w:rsidRDefault="0086511A" w:rsidP="009A770A">
      <w:pPr>
        <w:pStyle w:val="Tabulka"/>
      </w:pPr>
      <w:bookmarkStart w:id="80" w:name="_Toc213758606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B7E7C33" wp14:editId="7ED25BC7">
                <wp:simplePos x="0" y="0"/>
                <wp:positionH relativeFrom="margin">
                  <wp:align>right</wp:align>
                </wp:positionH>
                <wp:positionV relativeFrom="paragraph">
                  <wp:posOffset>82550</wp:posOffset>
                </wp:positionV>
                <wp:extent cx="1479550" cy="1250950"/>
                <wp:effectExtent l="0" t="0" r="6350" b="6350"/>
                <wp:wrapSquare wrapText="bothSides"/>
                <wp:docPr id="17168061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25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EF474" w14:textId="02C93006" w:rsidR="0086511A" w:rsidRPr="00957F27" w:rsidRDefault="0086511A" w:rsidP="00957F27">
                            <w:pPr>
                              <w:pStyle w:val="Citt"/>
                            </w:pPr>
                            <w:r w:rsidRPr="00957F27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Z pohledu pravidla rozpočtové odpovědnosti je strop dluhu v roce </w:t>
                            </w:r>
                            <w:r w:rsidR="001E2303">
                              <w:t>2024</w:t>
                            </w:r>
                            <w:r w:rsidR="006B7D57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ve výši</w:t>
                            </w:r>
                            <w:r w:rsidRPr="00957F27">
                              <w:t xml:space="preserve"> </w:t>
                            </w:r>
                            <w:r w:rsidR="001E2303">
                              <w:t>172,1</w:t>
                            </w:r>
                            <w:r w:rsidRPr="00957F27">
                              <w:t xml:space="preserve"> mil. Kč</w:t>
                            </w:r>
                          </w:p>
                          <w:p w14:paraId="76CA1936" w14:textId="77777777" w:rsidR="0086511A" w:rsidRPr="00957F27" w:rsidRDefault="0086511A" w:rsidP="0086511A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E7C33" id="_x0000_s1035" type="#_x0000_t202" style="position:absolute;left:0;text-align:left;margin-left:65.3pt;margin-top:6.5pt;width:116.5pt;height:98.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" stroked="f">
                <v:textbox>
                  <w:txbxContent>
                    <w:p w14:paraId="309EF474" w14:textId="02C93006" w:rsidR="0086511A" w:rsidRPr="00957F27" w:rsidRDefault="0086511A" w:rsidP="00957F27">
                      <w:pPr>
                        <w:pStyle w:val="Citt"/>
                      </w:pPr>
                      <w:r w:rsidRPr="00957F27">
                        <w:rPr>
                          <w:rStyle w:val="Odkaznakoment"/>
                          <w:sz w:val="22"/>
                          <w:szCs w:val="22"/>
                        </w:rPr>
                        <w:t xml:space="preserve">Z pohledu pravidla rozpočtové odpovědnosti je strop dluhu v roce </w:t>
                      </w:r>
                      <w:r w:rsidR="001E2303">
                        <w:t>2024</w:t>
                      </w:r>
                      <w:r w:rsidR="006B7D57">
                        <w:rPr>
                          <w:rStyle w:val="Odkaznakoment"/>
                          <w:sz w:val="22"/>
                          <w:szCs w:val="22"/>
                        </w:rPr>
                        <w:t xml:space="preserve"> ve výši</w:t>
                      </w:r>
                      <w:r w:rsidRPr="00957F27">
                        <w:t xml:space="preserve"> </w:t>
                      </w:r>
                      <w:r w:rsidR="001E2303">
                        <w:t>172,1</w:t>
                      </w:r>
                      <w:r w:rsidRPr="00957F27">
                        <w:t xml:space="preserve"> mil. Kč</w:t>
                      </w:r>
                    </w:p>
                    <w:p w14:paraId="76CA1936" w14:textId="77777777" w:rsidR="0086511A" w:rsidRPr="00957F27" w:rsidRDefault="0086511A" w:rsidP="0086511A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6EF5">
        <w:t>Fiskální pravidlo hospodaření</w:t>
      </w:r>
      <w:bookmarkEnd w:id="80"/>
    </w:p>
    <w:p w14:paraId="71E28E4D" w14:textId="2D605D7B" w:rsidR="00596EF5" w:rsidRPr="003300CB" w:rsidRDefault="00B622B6" w:rsidP="00596EF5">
      <w:pPr>
        <w:pStyle w:val="Objekt"/>
      </w:pPr>
      <w:r w:rsidRPr="00B622B6">
        <w:rPr>
          <w:noProof/>
        </w:rPr>
        <w:drawing>
          <wp:inline distT="0" distB="0" distL="0" distR="0" wp14:anchorId="6B1B61F6" wp14:editId="3813E534">
            <wp:extent cx="4864100" cy="799311"/>
            <wp:effectExtent l="0" t="0" r="0" b="1270"/>
            <wp:docPr id="1670355526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52" cy="80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A19F5" w14:textId="13BEC379" w:rsidR="00B01126" w:rsidRPr="00347EF2" w:rsidRDefault="00B01126" w:rsidP="00942739">
      <w:r w:rsidRPr="004D0FAA">
        <w:t>Z výše uvedené tabulky je zřejmé,</w:t>
      </w:r>
      <w:r w:rsidR="008D1CFB" w:rsidRPr="004D0FAA">
        <w:t xml:space="preserve"> </w:t>
      </w:r>
      <w:r w:rsidRPr="004D0FAA">
        <w:t xml:space="preserve">že dluh </w:t>
      </w:r>
      <w:r w:rsidR="00BC2E0A" w:rsidRPr="004147F8">
        <w:t>města</w:t>
      </w:r>
      <w:r w:rsidRPr="004147F8">
        <w:t xml:space="preserve"> </w:t>
      </w:r>
      <w:r w:rsidR="006920A4" w:rsidRPr="004147F8">
        <w:t>nepřesahuje</w:t>
      </w:r>
      <w:r w:rsidRPr="004147F8">
        <w:t xml:space="preserve"> povolenou</w:t>
      </w:r>
      <w:r w:rsidRPr="004D0FAA">
        <w:t xml:space="preserve"> 60% hranici. Strop</w:t>
      </w:r>
      <w:r w:rsidRPr="00347EF2">
        <w:t xml:space="preserve"> pro výši dluhu</w:t>
      </w:r>
      <w:r w:rsidR="00AD77E8">
        <w:t xml:space="preserve"> v roce </w:t>
      </w:r>
      <w:r w:rsidR="001E2303">
        <w:t>2024</w:t>
      </w:r>
      <w:r w:rsidRPr="00347EF2">
        <w:t xml:space="preserve"> je </w:t>
      </w:r>
      <w:r w:rsidR="001E2303">
        <w:t>172,1</w:t>
      </w:r>
      <w:r w:rsidRPr="00347EF2">
        <w:t xml:space="preserve"> mil. Kč</w:t>
      </w:r>
      <w:r w:rsidR="00347EF2" w:rsidRPr="00347EF2">
        <w:t>.</w:t>
      </w:r>
    </w:p>
    <w:p w14:paraId="36429AC1" w14:textId="545E0863" w:rsidR="00B01126" w:rsidRDefault="00EC71DD" w:rsidP="00993408">
      <w:r>
        <w:t>Kromě p</w:t>
      </w:r>
      <w:r w:rsidR="00B01126" w:rsidRPr="00493382">
        <w:t>ravidl</w:t>
      </w:r>
      <w:r w:rsidR="00556A1E">
        <w:t>a</w:t>
      </w:r>
      <w:r w:rsidR="00B01126" w:rsidRPr="00493382">
        <w:t xml:space="preserve"> rozpočtové odpovědnosti j</w:t>
      </w:r>
      <w:r>
        <w:t>sou</w:t>
      </w:r>
      <w:r w:rsidR="00B01126" w:rsidRPr="00493382">
        <w:t xml:space="preserve"> </w:t>
      </w:r>
      <w:r>
        <w:t>v soustavě</w:t>
      </w:r>
      <w:r w:rsidR="00B01126" w:rsidRPr="00493382">
        <w:t xml:space="preserve"> monitorujících </w:t>
      </w:r>
      <w:r>
        <w:t xml:space="preserve">a informačních </w:t>
      </w:r>
      <w:r w:rsidR="00B01126" w:rsidRPr="00493382">
        <w:t>ukazatelů Ministerstva financí ČR</w:t>
      </w:r>
      <w:r>
        <w:t xml:space="preserve"> další ukazatele</w:t>
      </w:r>
      <w:r w:rsidR="00354EEA" w:rsidRPr="00493382">
        <w:t>:</w:t>
      </w:r>
    </w:p>
    <w:p w14:paraId="58578679" w14:textId="77777777" w:rsidR="006E51C6" w:rsidRPr="00493382" w:rsidRDefault="006E51C6" w:rsidP="006E51C6">
      <w:pPr>
        <w:pStyle w:val="Kaskda0"/>
        <w:numPr>
          <w:ilvl w:val="0"/>
          <w:numId w:val="24"/>
        </w:numPr>
      </w:pPr>
      <w:r w:rsidRPr="00493382">
        <w:rPr>
          <w:b/>
        </w:rPr>
        <w:lastRenderedPageBreak/>
        <w:t xml:space="preserve">Celková </w:t>
      </w:r>
      <w:proofErr w:type="gramStart"/>
      <w:r w:rsidRPr="00493382">
        <w:rPr>
          <w:b/>
        </w:rPr>
        <w:t>likvidita</w:t>
      </w:r>
      <w:r w:rsidRPr="00493382">
        <w:t xml:space="preserve"> - Ukazatel</w:t>
      </w:r>
      <w:proofErr w:type="gramEnd"/>
      <w:r w:rsidRPr="00493382">
        <w:t xml:space="preserve"> stanovuje poměr, kterým je </w:t>
      </w:r>
      <w:r>
        <w:t>město</w:t>
      </w:r>
      <w:r w:rsidRPr="00493382">
        <w:t xml:space="preserve"> schopn</w:t>
      </w:r>
      <w:r>
        <w:t>o</w:t>
      </w:r>
      <w:r w:rsidRPr="00493382">
        <w:t xml:space="preserve"> krýt své krátkodobé závazky </w:t>
      </w:r>
      <w:r>
        <w:t>zejména</w:t>
      </w:r>
      <w:r w:rsidRPr="00493382">
        <w:t xml:space="preserve"> prostředky na bankovních účtech a hotovostí. Za rizikovou se považuje hodnota menší než 1.</w:t>
      </w:r>
    </w:p>
    <w:p w14:paraId="3437B448" w14:textId="77777777" w:rsidR="00B01126" w:rsidRPr="00493382" w:rsidRDefault="00B01126">
      <w:pPr>
        <w:pStyle w:val="Kaskda0"/>
        <w:numPr>
          <w:ilvl w:val="0"/>
          <w:numId w:val="24"/>
        </w:numPr>
      </w:pPr>
      <w:r w:rsidRPr="00493382">
        <w:rPr>
          <w:b/>
        </w:rPr>
        <w:t xml:space="preserve">Podíl cizích zdrojů k celkovým </w:t>
      </w:r>
      <w:proofErr w:type="gramStart"/>
      <w:r w:rsidRPr="00493382">
        <w:rPr>
          <w:b/>
        </w:rPr>
        <w:t>aktivům -</w:t>
      </w:r>
      <w:r w:rsidRPr="00493382">
        <w:t xml:space="preserve"> Ukazatel</w:t>
      </w:r>
      <w:proofErr w:type="gramEnd"/>
      <w:r w:rsidRPr="00493382">
        <w:t xml:space="preserve"> vyjadřuje poměr zadlužení k celkovému majetku </w:t>
      </w:r>
      <w:r w:rsidR="008D1CFB" w:rsidRPr="00493382">
        <w:t>ÚSC</w:t>
      </w:r>
      <w:r w:rsidRPr="00493382">
        <w:t>. Za rizikovou hodnotu je považován ukazatel vyšší než 25 %.</w:t>
      </w:r>
    </w:p>
    <w:p w14:paraId="4F7B196E" w14:textId="77777777" w:rsidR="00B01126" w:rsidRPr="00493382" w:rsidRDefault="00B01126">
      <w:pPr>
        <w:pStyle w:val="Kaskda0"/>
        <w:numPr>
          <w:ilvl w:val="0"/>
          <w:numId w:val="25"/>
        </w:numPr>
      </w:pPr>
      <w:r w:rsidRPr="00493382">
        <w:rPr>
          <w:b/>
        </w:rPr>
        <w:t xml:space="preserve">Ukazatel dluhové </w:t>
      </w:r>
      <w:proofErr w:type="gramStart"/>
      <w:r w:rsidRPr="00493382">
        <w:rPr>
          <w:b/>
        </w:rPr>
        <w:t>služby</w:t>
      </w:r>
      <w:r w:rsidRPr="00493382">
        <w:t xml:space="preserve"> - Ukazatel</w:t>
      </w:r>
      <w:proofErr w:type="gramEnd"/>
      <w:r w:rsidRPr="00493382">
        <w:t xml:space="preserve"> stanovuje poměr, kterým je obec schopna krýt svou roční dluhovou službu svými celkovými příjmy. Za rizikovou hodnotu je považován ukazatel vyšší než 25 %.</w:t>
      </w:r>
    </w:p>
    <w:p w14:paraId="408B6FD2" w14:textId="77777777" w:rsidR="00596EF5" w:rsidRPr="00596EF5" w:rsidRDefault="00596EF5" w:rsidP="009A770A">
      <w:pPr>
        <w:pStyle w:val="Tabulka"/>
      </w:pPr>
      <w:bookmarkStart w:id="81" w:name="_Toc213758607"/>
      <w:r w:rsidRPr="00596EF5">
        <w:t>Vývoj ukazatelů dluhového hospodaření</w:t>
      </w:r>
      <w:bookmarkEnd w:id="81"/>
      <w:r w:rsidRPr="00596EF5">
        <w:t xml:space="preserve"> </w:t>
      </w:r>
    </w:p>
    <w:p w14:paraId="404DA37B" w14:textId="7C34F4EA" w:rsidR="00596EF5" w:rsidRPr="003300CB" w:rsidRDefault="00B622B6" w:rsidP="00596EF5">
      <w:pPr>
        <w:pStyle w:val="Objekt"/>
      </w:pPr>
      <w:r w:rsidRPr="00B622B6">
        <w:rPr>
          <w:noProof/>
        </w:rPr>
        <w:drawing>
          <wp:inline distT="0" distB="0" distL="0" distR="0" wp14:anchorId="07763955" wp14:editId="1CBC3B20">
            <wp:extent cx="5069840" cy="833120"/>
            <wp:effectExtent l="0" t="0" r="0" b="5080"/>
            <wp:docPr id="576948912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7780" w14:textId="7EC44F67" w:rsidR="002F34F8" w:rsidRPr="00DD3AA3" w:rsidRDefault="00B01126" w:rsidP="008C3DB0">
      <w:r w:rsidRPr="00DD3AA3">
        <w:t>Překročení hraničních hodnot u všech tří m</w:t>
      </w:r>
      <w:r w:rsidRPr="001F1987">
        <w:t xml:space="preserve">onitorujících ukazatelů současně pouze indikuje možné riziko </w:t>
      </w:r>
      <w:r w:rsidR="005E0035" w:rsidRPr="001F1987">
        <w:t>ekonomických</w:t>
      </w:r>
      <w:r w:rsidRPr="001F1987">
        <w:t xml:space="preserve"> problémů</w:t>
      </w:r>
      <w:r w:rsidR="00A50A71" w:rsidRPr="001F1987">
        <w:t>,</w:t>
      </w:r>
      <w:r w:rsidRPr="001F1987">
        <w:t xml:space="preserve"> ale nutně neznamená, že je </w:t>
      </w:r>
      <w:r w:rsidR="00354EEA" w:rsidRPr="001F1987">
        <w:t>město</w:t>
      </w:r>
      <w:r w:rsidRPr="001F1987">
        <w:t xml:space="preserve"> v </w:t>
      </w:r>
      <w:r w:rsidR="00642F56" w:rsidRPr="001F1987">
        <w:t>nepříznivé</w:t>
      </w:r>
      <w:r w:rsidRPr="001F1987">
        <w:t xml:space="preserve"> finanční situaci. Pro </w:t>
      </w:r>
      <w:r w:rsidR="00BC2E0A" w:rsidRPr="001F1987">
        <w:t xml:space="preserve">město </w:t>
      </w:r>
      <w:r w:rsidR="001E2303" w:rsidRPr="001F1987">
        <w:t>Slavkov u Brna</w:t>
      </w:r>
      <w:r w:rsidRPr="001F1987">
        <w:t xml:space="preserve"> </w:t>
      </w:r>
      <w:r w:rsidR="002F34F8" w:rsidRPr="001F1987">
        <w:t>jsou</w:t>
      </w:r>
      <w:r w:rsidRPr="001F1987">
        <w:t xml:space="preserve"> </w:t>
      </w:r>
      <w:r w:rsidR="006E51C6" w:rsidRPr="001F1987">
        <w:t xml:space="preserve">však </w:t>
      </w:r>
      <w:r w:rsidR="002F34F8" w:rsidRPr="001F1987">
        <w:t xml:space="preserve">příznivé </w:t>
      </w:r>
      <w:r w:rsidRPr="001F1987">
        <w:t>hodnoty</w:t>
      </w:r>
      <w:r w:rsidR="002F34F8" w:rsidRPr="001F1987">
        <w:t xml:space="preserve"> </w:t>
      </w:r>
      <w:r w:rsidR="00382F4A" w:rsidRPr="001F1987">
        <w:t>všech ukazatelů.</w:t>
      </w:r>
    </w:p>
    <w:p w14:paraId="04467732" w14:textId="77777777" w:rsidR="00B01126" w:rsidRPr="002F34F8" w:rsidRDefault="00B01126" w:rsidP="00993408">
      <w:pPr>
        <w:pStyle w:val="Nadpis2"/>
      </w:pPr>
      <w:bookmarkStart w:id="82" w:name="_Toc62211719"/>
      <w:bookmarkStart w:id="83" w:name="_Toc213758991"/>
      <w:bookmarkStart w:id="84" w:name="_Toc354550546"/>
      <w:r w:rsidRPr="002F34F8">
        <w:t>Analýza cash flow</w:t>
      </w:r>
      <w:bookmarkEnd w:id="82"/>
      <w:bookmarkEnd w:id="83"/>
    </w:p>
    <w:bookmarkEnd w:id="84"/>
    <w:p w14:paraId="1E5758DC" w14:textId="77777777" w:rsidR="00B01126" w:rsidRPr="002F34F8" w:rsidRDefault="00B01126" w:rsidP="00993408">
      <w:r w:rsidRPr="002F34F8">
        <w:t xml:space="preserve">Problematika cash </w:t>
      </w:r>
      <w:proofErr w:type="spellStart"/>
      <w:r w:rsidRPr="005336E6">
        <w:t>flow</w:t>
      </w:r>
      <w:proofErr w:type="spellEnd"/>
      <w:r w:rsidRPr="002F34F8">
        <w:t xml:space="preserve"> města je úzce spojena s uvolňováním finančních prostředků náležejících obci jako podíl na daňovém výnosu a ostatních, zejména mandatorních</w:t>
      </w:r>
      <w:r w:rsidR="00BC0607" w:rsidRPr="002F34F8">
        <w:t>,</w:t>
      </w:r>
      <w:r w:rsidRPr="002F34F8">
        <w:t xml:space="preserve"> příjmech. Tento systém zjišťování finančního toku nepokrývá zcela finanční potřeby municipalit v průběhu roku a vytváří tak tlaky na efektivní řízení krátkodobého financování rozpočtových výdajů. Proto není výjimkou, že hodnoty cash </w:t>
      </w:r>
      <w:proofErr w:type="spellStart"/>
      <w:r w:rsidRPr="005336E6">
        <w:t>flow</w:t>
      </w:r>
      <w:proofErr w:type="spellEnd"/>
      <w:r w:rsidRPr="002F34F8">
        <w:t xml:space="preserve"> </w:t>
      </w:r>
      <w:r w:rsidR="00BC0607" w:rsidRPr="002F34F8">
        <w:t>jsou záporné</w:t>
      </w:r>
      <w:r w:rsidRPr="002F34F8">
        <w:t>, jak dokumentuje následující graf.</w:t>
      </w:r>
    </w:p>
    <w:p w14:paraId="17F8C365" w14:textId="6FA0F68A" w:rsidR="00B01126" w:rsidRPr="00BF2726" w:rsidRDefault="007E444B" w:rsidP="007F7EE4">
      <w:pPr>
        <w:pStyle w:val="Graf0"/>
      </w:pPr>
      <w:bookmarkStart w:id="85" w:name="_Toc213758627"/>
      <w:r>
        <w:t>M</w:t>
      </w:r>
      <w:r w:rsidR="00B01126" w:rsidRPr="00BF2726">
        <w:t xml:space="preserve">ěsíční </w:t>
      </w:r>
      <w:r>
        <w:t xml:space="preserve">průměr a vývoj </w:t>
      </w:r>
      <w:r w:rsidR="00B01126" w:rsidRPr="00BF2726">
        <w:t xml:space="preserve">cash </w:t>
      </w:r>
      <w:proofErr w:type="spellStart"/>
      <w:r w:rsidR="00B01126" w:rsidRPr="00BF2726">
        <w:t>flow</w:t>
      </w:r>
      <w:bookmarkEnd w:id="85"/>
      <w:proofErr w:type="spellEnd"/>
      <w:r w:rsidR="00B01126" w:rsidRPr="00BF2726">
        <w:t xml:space="preserve"> </w:t>
      </w:r>
    </w:p>
    <w:p w14:paraId="3D6CBA81" w14:textId="41D50DBD" w:rsidR="005F2E00" w:rsidRPr="003300CB" w:rsidRDefault="00B622B6" w:rsidP="005F2E00">
      <w:pPr>
        <w:pStyle w:val="Objekt"/>
      </w:pPr>
      <w:r w:rsidRPr="00B622B6">
        <w:rPr>
          <w:noProof/>
        </w:rPr>
        <w:drawing>
          <wp:inline distT="0" distB="0" distL="0" distR="0" wp14:anchorId="688993C3" wp14:editId="43AFFF28">
            <wp:extent cx="6480810" cy="2705735"/>
            <wp:effectExtent l="0" t="0" r="0" b="0"/>
            <wp:docPr id="473484233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BC547" w14:textId="518406A4" w:rsidR="00512630" w:rsidRDefault="00512630" w:rsidP="00512630">
      <w:pPr>
        <w:pStyle w:val="Poznmka"/>
      </w:pPr>
      <w:r>
        <w:t xml:space="preserve">Poznámka: Hodnoty jsou vypočteny jako průměr za roky </w:t>
      </w:r>
      <w:r w:rsidR="001E2303">
        <w:t>2020-2024</w:t>
      </w:r>
    </w:p>
    <w:p w14:paraId="030BE32D" w14:textId="1874962B" w:rsidR="00B01126" w:rsidRDefault="00B01126" w:rsidP="00993408">
      <w:r w:rsidRPr="002F34F8">
        <w:t>Pro hodnocení finanční stability města je však důležité, aby hodnota</w:t>
      </w:r>
      <w:r w:rsidR="00AD1CC1" w:rsidRPr="002F34F8">
        <w:t xml:space="preserve"> vlastních</w:t>
      </w:r>
      <w:r w:rsidRPr="002F34F8">
        <w:t xml:space="preserve"> </w:t>
      </w:r>
      <w:r w:rsidR="00AD1CC1" w:rsidRPr="002F34F8">
        <w:t>finančních prostředků</w:t>
      </w:r>
      <w:r w:rsidRPr="002F34F8">
        <w:t xml:space="preserve"> na konci rozpočtového roku </w:t>
      </w:r>
      <w:r w:rsidR="00D9228F">
        <w:t>pokrývala</w:t>
      </w:r>
      <w:r w:rsidRPr="002F34F8">
        <w:t xml:space="preserve"> financování základních potřeb města. </w:t>
      </w:r>
      <w:r w:rsidR="00453D66">
        <w:t>D</w:t>
      </w:r>
      <w:r w:rsidRPr="0000725A">
        <w:t>an</w:t>
      </w:r>
      <w:r w:rsidR="00453D66">
        <w:t>á</w:t>
      </w:r>
      <w:r w:rsidRPr="0000725A">
        <w:t xml:space="preserve"> situac</w:t>
      </w:r>
      <w:r w:rsidR="00453D66">
        <w:t>e</w:t>
      </w:r>
      <w:r w:rsidRPr="0000725A">
        <w:t xml:space="preserve"> města</w:t>
      </w:r>
      <w:r w:rsidR="00453D66">
        <w:t xml:space="preserve"> je zobrazena modrou křivkou v předešlém grafu.</w:t>
      </w:r>
    </w:p>
    <w:p w14:paraId="7F787629" w14:textId="4A426DAD" w:rsidR="00B01126" w:rsidRPr="003C2C43" w:rsidRDefault="00B01126" w:rsidP="00993408">
      <w:pPr>
        <w:pStyle w:val="Zkladntext"/>
        <w:rPr>
          <w:b/>
          <w:lang w:val="cs-CZ"/>
        </w:rPr>
      </w:pPr>
      <w:r w:rsidRPr="0000725A">
        <w:rPr>
          <w:lang w:val="cs-CZ"/>
        </w:rPr>
        <w:t>Hodnoty cash</w:t>
      </w:r>
      <w:r w:rsidR="0034130A" w:rsidRPr="0000725A">
        <w:rPr>
          <w:lang w:val="cs-CZ"/>
        </w:rPr>
        <w:t xml:space="preserve"> </w:t>
      </w:r>
      <w:proofErr w:type="spellStart"/>
      <w:r w:rsidR="004E7AD1" w:rsidRPr="0000725A">
        <w:rPr>
          <w:lang w:val="cs-CZ"/>
        </w:rPr>
        <w:t>flow</w:t>
      </w:r>
      <w:proofErr w:type="spellEnd"/>
      <w:r w:rsidR="004E7AD1" w:rsidRPr="0000725A">
        <w:rPr>
          <w:lang w:val="cs-CZ"/>
        </w:rPr>
        <w:t xml:space="preserve"> </w:t>
      </w:r>
      <w:r w:rsidRPr="0000725A">
        <w:rPr>
          <w:lang w:val="cs-CZ"/>
        </w:rPr>
        <w:t>vycházejí ze schválených závěrečných</w:t>
      </w:r>
      <w:r w:rsidRPr="003C2C43">
        <w:rPr>
          <w:lang w:val="cs-CZ"/>
        </w:rPr>
        <w:t xml:space="preserve"> účtů města a jsou zobrazeny v</w:t>
      </w:r>
      <w:r w:rsidR="00AD1CC1" w:rsidRPr="003C2C43">
        <w:rPr>
          <w:lang w:val="cs-CZ"/>
        </w:rPr>
        <w:t xml:space="preserve"> následující</w:t>
      </w:r>
      <w:r w:rsidRPr="003C2C43">
        <w:rPr>
          <w:lang w:val="cs-CZ"/>
        </w:rPr>
        <w:t> tabulce.</w:t>
      </w:r>
    </w:p>
    <w:p w14:paraId="4B59F53C" w14:textId="306E96A1" w:rsidR="00B01126" w:rsidRPr="007F7EE4" w:rsidRDefault="00B01126" w:rsidP="009A770A">
      <w:pPr>
        <w:pStyle w:val="Tabulka"/>
      </w:pPr>
      <w:bookmarkStart w:id="86" w:name="_Toc213758608"/>
      <w:r w:rsidRPr="007F7EE4">
        <w:lastRenderedPageBreak/>
        <w:t>Vývoj cash</w:t>
      </w:r>
      <w:r w:rsidR="0081069F" w:rsidRPr="007F7EE4">
        <w:t xml:space="preserve"> </w:t>
      </w:r>
      <w:proofErr w:type="spellStart"/>
      <w:r w:rsidR="004E7AD1" w:rsidRPr="007F7EE4">
        <w:t>flow</w:t>
      </w:r>
      <w:proofErr w:type="spellEnd"/>
      <w:r w:rsidR="004E7AD1" w:rsidRPr="007F7EE4">
        <w:t xml:space="preserve"> </w:t>
      </w:r>
      <w:r w:rsidR="0035714F" w:rsidRPr="007F7EE4">
        <w:t>a platební schopnost</w:t>
      </w:r>
      <w:r w:rsidR="00B51330">
        <w:t>i</w:t>
      </w:r>
      <w:bookmarkEnd w:id="86"/>
    </w:p>
    <w:p w14:paraId="5521DFD4" w14:textId="45ED0518" w:rsidR="0035714F" w:rsidRPr="003300CB" w:rsidRDefault="00B622B6" w:rsidP="00EE3CAF">
      <w:pPr>
        <w:pStyle w:val="Objekt"/>
      </w:pPr>
      <w:r w:rsidRPr="00B622B6">
        <w:rPr>
          <w:noProof/>
        </w:rPr>
        <w:drawing>
          <wp:inline distT="0" distB="0" distL="0" distR="0" wp14:anchorId="6D3E43C0" wp14:editId="4C6B2811">
            <wp:extent cx="5894070" cy="1330960"/>
            <wp:effectExtent l="0" t="0" r="0" b="2540"/>
            <wp:docPr id="310939022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4AA7A" w14:textId="559E60FC" w:rsidR="00B01126" w:rsidRDefault="00453D66" w:rsidP="00993408">
      <w:r w:rsidRPr="00453D6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542DC9D" wp14:editId="0BA8D4BD">
                <wp:simplePos x="0" y="0"/>
                <wp:positionH relativeFrom="margin">
                  <wp:posOffset>4963160</wp:posOffset>
                </wp:positionH>
                <wp:positionV relativeFrom="paragraph">
                  <wp:posOffset>88265</wp:posOffset>
                </wp:positionV>
                <wp:extent cx="1479550" cy="1562100"/>
                <wp:effectExtent l="0" t="0" r="6350" b="0"/>
                <wp:wrapSquare wrapText="bothSides"/>
                <wp:docPr id="41196386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5FAA2" w14:textId="388B164F" w:rsidR="0086511A" w:rsidRPr="00EC71DD" w:rsidRDefault="0086511A" w:rsidP="00957F27">
                            <w:pPr>
                              <w:pStyle w:val="Citt"/>
                            </w:pPr>
                            <w:r w:rsidRPr="00EC71DD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Výše vlastních finančních prostředků je závislá </w:t>
                            </w:r>
                            <w:r w:rsidR="00EC71DD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také </w:t>
                            </w:r>
                            <w:r w:rsidRPr="00EC71DD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na investiční aktivitě města</w:t>
                            </w:r>
                          </w:p>
                          <w:p w14:paraId="3D6E0E76" w14:textId="77777777" w:rsidR="0086511A" w:rsidRPr="00EC71DD" w:rsidRDefault="0086511A" w:rsidP="0086511A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2DC9D" id="_x0000_s1036" type="#_x0000_t202" style="position:absolute;left:0;text-align:left;margin-left:390.8pt;margin-top:6.95pt;width:116.5pt;height:12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" stroked="f">
                <v:textbox>
                  <w:txbxContent>
                    <w:p w14:paraId="0205FAA2" w14:textId="388B164F" w:rsidR="0086511A" w:rsidRPr="00EC71DD" w:rsidRDefault="0086511A" w:rsidP="00957F27">
                      <w:pPr>
                        <w:pStyle w:val="Citt"/>
                      </w:pPr>
                      <w:r w:rsidRPr="00EC71DD">
                        <w:rPr>
                          <w:rStyle w:val="Odkaznakoment"/>
                          <w:sz w:val="22"/>
                          <w:szCs w:val="22"/>
                        </w:rPr>
                        <w:t xml:space="preserve">Výše vlastních finančních prostředků je závislá </w:t>
                      </w:r>
                      <w:r w:rsidR="00EC71DD">
                        <w:rPr>
                          <w:rStyle w:val="Odkaznakoment"/>
                          <w:sz w:val="22"/>
                          <w:szCs w:val="22"/>
                        </w:rPr>
                        <w:t xml:space="preserve">také </w:t>
                      </w:r>
                      <w:r w:rsidRPr="00EC71DD">
                        <w:rPr>
                          <w:rStyle w:val="Odkaznakoment"/>
                          <w:sz w:val="22"/>
                          <w:szCs w:val="22"/>
                        </w:rPr>
                        <w:t>na investiční aktivitě města</w:t>
                      </w:r>
                    </w:p>
                    <w:p w14:paraId="3D6E0E76" w14:textId="77777777" w:rsidR="0086511A" w:rsidRPr="00EC71DD" w:rsidRDefault="0086511A" w:rsidP="0086511A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34F8" w:rsidRPr="00453D66">
        <w:t>V</w:t>
      </w:r>
      <w:r w:rsidR="00AD1CC1" w:rsidRPr="00453D66">
        <w:t xml:space="preserve"> analyzovaných</w:t>
      </w:r>
      <w:r w:rsidR="00B01126" w:rsidRPr="00453D66">
        <w:t xml:space="preserve"> letech </w:t>
      </w:r>
      <w:r w:rsidR="00B01126" w:rsidRPr="001F1987">
        <w:t xml:space="preserve">vykazuje stav peněžních prostředků běžného roku </w:t>
      </w:r>
      <w:r w:rsidR="00DE1B94" w:rsidRPr="001F1987">
        <w:t>z</w:t>
      </w:r>
      <w:r w:rsidR="00AD1CC1" w:rsidRPr="001F1987">
        <w:t>áporn</w:t>
      </w:r>
      <w:r w:rsidR="00B51330" w:rsidRPr="001F1987">
        <w:t>é saldo</w:t>
      </w:r>
      <w:r w:rsidR="00B01126" w:rsidRPr="001F1987">
        <w:t xml:space="preserve"> </w:t>
      </w:r>
      <w:r w:rsidR="00AD1CC1" w:rsidRPr="001F1987">
        <w:t>v</w:t>
      </w:r>
      <w:r w:rsidR="00DE1B94" w:rsidRPr="001F1987">
        <w:t> </w:t>
      </w:r>
      <w:r w:rsidR="002F34F8" w:rsidRPr="001F1987">
        <w:t>letech</w:t>
      </w:r>
      <w:r w:rsidR="00DE1B94" w:rsidRPr="001F1987">
        <w:t xml:space="preserve"> </w:t>
      </w:r>
      <w:r w:rsidR="001E2303" w:rsidRPr="001F1987">
        <w:t>2021 a 2024</w:t>
      </w:r>
      <w:r w:rsidR="005D10E1" w:rsidRPr="001F1987">
        <w:t>, což</w:t>
      </w:r>
      <w:r w:rsidR="00DE1B94" w:rsidRPr="001F1987">
        <w:t xml:space="preserve"> </w:t>
      </w:r>
      <w:r w:rsidR="00B01126" w:rsidRPr="001F1987">
        <w:t>je způsoben</w:t>
      </w:r>
      <w:r w:rsidR="00D044BA" w:rsidRPr="001F1987">
        <w:t>o</w:t>
      </w:r>
      <w:r w:rsidR="00B01126" w:rsidRPr="001F1987">
        <w:t xml:space="preserve"> </w:t>
      </w:r>
      <w:r w:rsidR="001F1987" w:rsidRPr="001F1987">
        <w:t>z</w:t>
      </w:r>
      <w:r w:rsidR="002F34F8" w:rsidRPr="001F1987">
        <w:t>výšenou</w:t>
      </w:r>
      <w:r w:rsidR="00B01126" w:rsidRPr="001F1987">
        <w:t xml:space="preserve"> investiční činností města.</w:t>
      </w:r>
      <w:r w:rsidR="00856682" w:rsidRPr="001F1987">
        <w:t xml:space="preserve"> </w:t>
      </w:r>
      <w:r w:rsidR="00B01126" w:rsidRPr="001F1987">
        <w:t xml:space="preserve">K vyrovnání hospodaření </w:t>
      </w:r>
      <w:r w:rsidR="00206A05" w:rsidRPr="001F1987">
        <w:t>těchto let</w:t>
      </w:r>
      <w:r w:rsidR="004E7AD1" w:rsidRPr="001F1987">
        <w:t xml:space="preserve"> město zpravidla</w:t>
      </w:r>
      <w:r w:rsidR="00B01126" w:rsidRPr="001F1987">
        <w:t xml:space="preserve"> zapoj</w:t>
      </w:r>
      <w:r w:rsidR="004E7AD1" w:rsidRPr="001F1987">
        <w:t>ova</w:t>
      </w:r>
      <w:r w:rsidR="005229FC" w:rsidRPr="001F1987">
        <w:t>lo</w:t>
      </w:r>
      <w:r w:rsidR="00B01126" w:rsidRPr="001F1987">
        <w:t xml:space="preserve"> přebytek finančních prostředků z</w:t>
      </w:r>
      <w:r w:rsidR="004E7AD1" w:rsidRPr="001F1987">
        <w:t> předcházející</w:t>
      </w:r>
      <w:r w:rsidR="00B51330" w:rsidRPr="001F1987">
        <w:t>ch</w:t>
      </w:r>
      <w:r w:rsidR="004E7AD1" w:rsidRPr="00453D66">
        <w:t xml:space="preserve"> </w:t>
      </w:r>
      <w:r w:rsidR="00B51330" w:rsidRPr="00453D66">
        <w:t>let</w:t>
      </w:r>
      <w:r w:rsidR="00856682" w:rsidRPr="00453D66">
        <w:t>, kdy investovalo méně a vytvářelo si finanční rezervu právě pro tyto případy.</w:t>
      </w:r>
    </w:p>
    <w:p w14:paraId="037014AF" w14:textId="3E6F896E" w:rsidR="001F1987" w:rsidRDefault="00B51330" w:rsidP="00993408">
      <w:r w:rsidRPr="00B51330">
        <w:t>Finanční stabilitu a schopnost města plnit svoje závazky lze posoudit na základě ukazatele platební schopnosti prvního řádu (optimum pod hranicí 2, maximální přípustná hodnota 6) a platební schopnosti druhého řádu (pod 20</w:t>
      </w:r>
      <w:r>
        <w:t xml:space="preserve"> </w:t>
      </w:r>
      <w:r w:rsidRPr="00B51330">
        <w:t>% optimální stav, do 40</w:t>
      </w:r>
      <w:r>
        <w:t xml:space="preserve"> </w:t>
      </w:r>
      <w:r w:rsidRPr="00B51330">
        <w:t>% stav uspokojivý</w:t>
      </w:r>
      <w:r w:rsidR="00D044BA">
        <w:t>).</w:t>
      </w:r>
      <w:r w:rsidR="00543D0F">
        <w:t xml:space="preserve"> </w:t>
      </w:r>
      <w:r w:rsidR="001F1987">
        <w:t>Zvýšená hodnota Platební schopnosti II. řádu v roce 2020 pak souvisí s jednorázovou splátkou úvěru na předfinancování investičních projektů.</w:t>
      </w:r>
    </w:p>
    <w:p w14:paraId="600CE23F" w14:textId="708BE714" w:rsidR="00B01126" w:rsidRPr="0069225D" w:rsidRDefault="00B01126" w:rsidP="00993408">
      <w:pPr>
        <w:pStyle w:val="Nadpis2"/>
      </w:pPr>
      <w:bookmarkStart w:id="87" w:name="_Toc62211721"/>
      <w:bookmarkStart w:id="88" w:name="_Toc213758992"/>
      <w:r w:rsidRPr="0069225D">
        <w:t>Závěry analýzy</w:t>
      </w:r>
      <w:bookmarkEnd w:id="87"/>
      <w:r w:rsidR="00F4496F" w:rsidRPr="0069225D">
        <w:t xml:space="preserve"> hospodaření</w:t>
      </w:r>
      <w:bookmarkEnd w:id="88"/>
    </w:p>
    <w:p w14:paraId="69508432" w14:textId="37FB81BC" w:rsidR="00263135" w:rsidRDefault="00263135" w:rsidP="00263135">
      <w:r w:rsidRPr="0069225D">
        <w:t xml:space="preserve">Město v období </w:t>
      </w:r>
      <w:r w:rsidR="001E2303">
        <w:t>2020-2024</w:t>
      </w:r>
      <w:r w:rsidRPr="0069225D">
        <w:t xml:space="preserve"> disponovalo zůstatky na účtech ve výši </w:t>
      </w:r>
      <w:r w:rsidR="001E2303">
        <w:t>118,1</w:t>
      </w:r>
      <w:r w:rsidRPr="0069225D">
        <w:t xml:space="preserve"> mil. Kč (</w:t>
      </w:r>
      <w:r w:rsidR="001E2303">
        <w:t>2021</w:t>
      </w:r>
      <w:r w:rsidRPr="0069225D">
        <w:t xml:space="preserve">) až </w:t>
      </w:r>
      <w:r w:rsidR="001E2303">
        <w:t>206,5</w:t>
      </w:r>
      <w:r w:rsidRPr="0069225D">
        <w:t xml:space="preserve"> mil. Kč (</w:t>
      </w:r>
      <w:r w:rsidR="001E2303">
        <w:t>2023</w:t>
      </w:r>
      <w:r w:rsidRPr="0069225D">
        <w:t xml:space="preserve">). Úroveň dlouhodobých pohledávek </w:t>
      </w:r>
      <w:r w:rsidR="0024338B">
        <w:t>se</w:t>
      </w:r>
      <w:r w:rsidRPr="0069225D">
        <w:t xml:space="preserve"> v celém sledovaném období pohybovala</w:t>
      </w:r>
      <w:r w:rsidR="001F1987">
        <w:t xml:space="preserve"> v nulové výši</w:t>
      </w:r>
      <w:r w:rsidRPr="0069225D">
        <w:t xml:space="preserve">. </w:t>
      </w:r>
      <w:r w:rsidR="0024338B">
        <w:t>O</w:t>
      </w:r>
      <w:r w:rsidRPr="0069225D">
        <w:t>bjem dlouhodobých závazků</w:t>
      </w:r>
      <w:r w:rsidR="0024338B">
        <w:t xml:space="preserve"> se</w:t>
      </w:r>
      <w:r w:rsidRPr="0069225D">
        <w:t xml:space="preserve"> pohyboval </w:t>
      </w:r>
      <w:r w:rsidRPr="002D3C9B">
        <w:rPr>
          <w:rFonts w:cstheme="minorHAnsi"/>
          <w:szCs w:val="22"/>
        </w:rPr>
        <w:t xml:space="preserve">od </w:t>
      </w:r>
      <w:r w:rsidR="001E2303" w:rsidRPr="001E2303">
        <w:rPr>
          <w:rFonts w:cstheme="minorHAnsi"/>
          <w:bCs/>
          <w:color w:val="000000"/>
          <w:szCs w:val="22"/>
          <w:lang w:eastAsia="cs-CZ"/>
        </w:rPr>
        <w:t>0,6</w:t>
      </w:r>
      <w:r w:rsidR="0069225D" w:rsidRPr="0069225D">
        <w:t xml:space="preserve"> </w:t>
      </w:r>
      <w:r w:rsidRPr="0069225D">
        <w:t>mil. Kč (</w:t>
      </w:r>
      <w:r w:rsidR="001E2303">
        <w:t>2024</w:t>
      </w:r>
      <w:r w:rsidRPr="0069225D">
        <w:t xml:space="preserve">) do </w:t>
      </w:r>
      <w:r w:rsidR="001E2303">
        <w:t>2,4</w:t>
      </w:r>
      <w:r w:rsidRPr="0069225D">
        <w:t xml:space="preserve"> mil. Kč</w:t>
      </w:r>
      <w:r w:rsidR="0069225D" w:rsidRPr="0069225D">
        <w:t xml:space="preserve"> (</w:t>
      </w:r>
      <w:r w:rsidR="001E2303">
        <w:t>2020</w:t>
      </w:r>
      <w:r w:rsidR="0069225D" w:rsidRPr="0069225D">
        <w:t>)</w:t>
      </w:r>
      <w:r w:rsidRPr="0069225D">
        <w:t xml:space="preserve">. Stav nesplacených úvěrů </w:t>
      </w:r>
      <w:r w:rsidR="002D3C9B">
        <w:t xml:space="preserve">se pohyboval v rozmezí od </w:t>
      </w:r>
      <w:r w:rsidR="001E2303">
        <w:t>7,2</w:t>
      </w:r>
      <w:r w:rsidR="002D3C9B" w:rsidRPr="0069225D">
        <w:t xml:space="preserve"> mil. Kč</w:t>
      </w:r>
      <w:r w:rsidR="002D3C9B">
        <w:t xml:space="preserve"> (</w:t>
      </w:r>
      <w:r w:rsidR="001E2303">
        <w:t>2024</w:t>
      </w:r>
      <w:r w:rsidR="002D3C9B" w:rsidRPr="0069225D">
        <w:t>)</w:t>
      </w:r>
      <w:r w:rsidR="002D3C9B">
        <w:t xml:space="preserve"> do</w:t>
      </w:r>
      <w:r w:rsidR="0069225D" w:rsidRPr="0069225D">
        <w:t xml:space="preserve"> </w:t>
      </w:r>
      <w:r w:rsidR="001E2303">
        <w:t>20,5</w:t>
      </w:r>
      <w:r w:rsidR="002D3C9B">
        <w:t xml:space="preserve"> </w:t>
      </w:r>
      <w:r w:rsidR="0069225D" w:rsidRPr="0069225D">
        <w:t>mil. Kč</w:t>
      </w:r>
      <w:r w:rsidR="002D3C9B">
        <w:t xml:space="preserve"> (</w:t>
      </w:r>
      <w:r w:rsidR="001E2303">
        <w:t>2020</w:t>
      </w:r>
      <w:r w:rsidR="0069225D" w:rsidRPr="0069225D">
        <w:t>)</w:t>
      </w:r>
      <w:r w:rsidRPr="0069225D">
        <w:t>.</w:t>
      </w:r>
    </w:p>
    <w:p w14:paraId="50EC4EED" w14:textId="43DB1D23" w:rsidR="00E17B30" w:rsidRPr="007F7EE4" w:rsidRDefault="00B34B54" w:rsidP="007F7EE4">
      <w:pPr>
        <w:pStyle w:val="Graf0"/>
      </w:pPr>
      <w:bookmarkStart w:id="89" w:name="_Toc213758628"/>
      <w:r w:rsidRPr="007F7EE4">
        <w:t>Vývoj počtu obyvatel</w:t>
      </w:r>
      <w:r w:rsidR="00E17B30" w:rsidRPr="007F7EE4">
        <w:t xml:space="preserve"> a počtu žáků</w:t>
      </w:r>
      <w:bookmarkEnd w:id="89"/>
    </w:p>
    <w:p w14:paraId="149CAEFF" w14:textId="3CCB4338" w:rsidR="00E17B30" w:rsidRDefault="00B622B6" w:rsidP="00571044">
      <w:pPr>
        <w:pStyle w:val="Objekt"/>
      </w:pPr>
      <w:r w:rsidRPr="00B622B6">
        <w:rPr>
          <w:noProof/>
        </w:rPr>
        <w:drawing>
          <wp:inline distT="0" distB="0" distL="0" distR="0" wp14:anchorId="7E3FBDE3" wp14:editId="014B4A18">
            <wp:extent cx="6480810" cy="2684145"/>
            <wp:effectExtent l="0" t="0" r="0" b="0"/>
            <wp:docPr id="1534623273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21865" w14:textId="76E6BACC" w:rsidR="00F37130" w:rsidRPr="009318B4" w:rsidRDefault="00F37130" w:rsidP="00F37130">
      <w:pPr>
        <w:pStyle w:val="Poznmka"/>
      </w:pPr>
      <w:r>
        <w:t>Poznámka: Počet obyvatel je uváděn k 1.1. a počty žáků k 30.9. daného roku</w:t>
      </w:r>
    </w:p>
    <w:p w14:paraId="379EB787" w14:textId="1382E0C1" w:rsidR="002B7F5F" w:rsidRDefault="00807A2F" w:rsidP="002B7F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5BA64C8" wp14:editId="648D0870">
                <wp:simplePos x="0" y="0"/>
                <wp:positionH relativeFrom="margin">
                  <wp:align>right</wp:align>
                </wp:positionH>
                <wp:positionV relativeFrom="paragraph">
                  <wp:posOffset>174625</wp:posOffset>
                </wp:positionV>
                <wp:extent cx="1479550" cy="1425575"/>
                <wp:effectExtent l="0" t="0" r="6350" b="3175"/>
                <wp:wrapSquare wrapText="bothSides"/>
                <wp:docPr id="16779460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6B64C" w14:textId="77777777" w:rsidR="0086511A" w:rsidRPr="00957F27" w:rsidRDefault="0086511A" w:rsidP="00957F27">
                            <w:pPr>
                              <w:pStyle w:val="Citt"/>
                            </w:pPr>
                            <w:r w:rsidRPr="00957F27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Růstový trend počtu obyvatel a žáků / Trend snižování počtu obyvatel a žáků</w:t>
                            </w:r>
                          </w:p>
                          <w:p w14:paraId="5A9F6275" w14:textId="77777777" w:rsidR="0086511A" w:rsidRPr="00957F27" w:rsidRDefault="0086511A" w:rsidP="0086511A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A64C8" id="_x0000_s1037" type="#_x0000_t202" style="position:absolute;left:0;text-align:left;margin-left:65.3pt;margin-top:13.75pt;width:116.5pt;height:112.2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" stroked="f">
                <v:textbox>
                  <w:txbxContent>
                    <w:p w14:paraId="4FE6B64C" w14:textId="77777777" w:rsidR="0086511A" w:rsidRPr="00957F27" w:rsidRDefault="0086511A" w:rsidP="00957F27">
                      <w:pPr>
                        <w:pStyle w:val="Citt"/>
                      </w:pPr>
                      <w:r w:rsidRPr="00957F27">
                        <w:rPr>
                          <w:rStyle w:val="Odkaznakoment"/>
                          <w:sz w:val="22"/>
                          <w:szCs w:val="22"/>
                        </w:rPr>
                        <w:t>Růstový trend počtu obyvatel a žáků / Trend snižování počtu obyvatel a žáků</w:t>
                      </w:r>
                    </w:p>
                    <w:p w14:paraId="5A9F6275" w14:textId="77777777" w:rsidR="0086511A" w:rsidRPr="00957F27" w:rsidRDefault="0086511A" w:rsidP="0086511A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3C89" w:rsidRPr="00342F38">
        <w:t>P</w:t>
      </w:r>
      <w:r w:rsidR="00E9475D" w:rsidRPr="00342F38">
        <w:t xml:space="preserve">očet obyvatel v období </w:t>
      </w:r>
      <w:proofErr w:type="gramStart"/>
      <w:r w:rsidR="00E9475D" w:rsidRPr="00342F38">
        <w:t xml:space="preserve">2004 </w:t>
      </w:r>
      <w:r w:rsidR="00E9475D" w:rsidRPr="00C83B29">
        <w:t>–</w:t>
      </w:r>
      <w:r w:rsidR="00761C54" w:rsidRPr="00C83B29">
        <w:t xml:space="preserve"> </w:t>
      </w:r>
      <w:r w:rsidR="001E2303" w:rsidRPr="00C83B29">
        <w:t>2025</w:t>
      </w:r>
      <w:proofErr w:type="gramEnd"/>
      <w:r w:rsidR="00E9475D" w:rsidRPr="00C83B29">
        <w:t>, až na několik výjimek, meziročně</w:t>
      </w:r>
      <w:r w:rsidR="00133C89" w:rsidRPr="00C83B29">
        <w:t xml:space="preserve"> </w:t>
      </w:r>
      <w:r w:rsidR="001E2303" w:rsidRPr="00C83B29">
        <w:t>roste</w:t>
      </w:r>
      <w:r w:rsidR="00CC1908" w:rsidRPr="00C83B29">
        <w:t xml:space="preserve"> </w:t>
      </w:r>
      <w:r w:rsidR="00E9475D" w:rsidRPr="00C83B29">
        <w:t>(</w:t>
      </w:r>
      <w:r w:rsidR="002B7F5F" w:rsidRPr="00C83B29">
        <w:t>+</w:t>
      </w:r>
      <w:r w:rsidR="001E2303" w:rsidRPr="00C83B29">
        <w:t>1</w:t>
      </w:r>
      <w:r>
        <w:t> </w:t>
      </w:r>
      <w:r w:rsidR="001E2303" w:rsidRPr="00C83B29">
        <w:t>297</w:t>
      </w:r>
      <w:r w:rsidR="00E9475D" w:rsidRPr="00C83B29">
        <w:t xml:space="preserve"> obyvatel), </w:t>
      </w:r>
      <w:r w:rsidR="00CF14D3" w:rsidRPr="00C83B29">
        <w:t>také</w:t>
      </w:r>
      <w:r w:rsidR="00E9475D" w:rsidRPr="00C83B29">
        <w:t xml:space="preserve"> vývoj počtu žáků má</w:t>
      </w:r>
      <w:r w:rsidR="00133C89" w:rsidRPr="00C83B29">
        <w:t xml:space="preserve"> </w:t>
      </w:r>
      <w:r w:rsidR="001E2303" w:rsidRPr="00C83B29">
        <w:t>rostoucí</w:t>
      </w:r>
      <w:r w:rsidR="00133C89" w:rsidRPr="00C83B29">
        <w:t xml:space="preserve"> </w:t>
      </w:r>
      <w:r w:rsidR="00E9475D" w:rsidRPr="00C83B29">
        <w:t xml:space="preserve">trend </w:t>
      </w:r>
      <w:r w:rsidR="00CF14D3" w:rsidRPr="00C83B29">
        <w:t>ve</w:t>
      </w:r>
      <w:r w:rsidR="00E9475D" w:rsidRPr="00C83B29">
        <w:t xml:space="preserve"> sledovan</w:t>
      </w:r>
      <w:r w:rsidR="002B7F5F" w:rsidRPr="00C83B29">
        <w:t>é</w:t>
      </w:r>
      <w:r w:rsidR="00CF14D3" w:rsidRPr="00C83B29">
        <w:t>m</w:t>
      </w:r>
      <w:r w:rsidR="002B7F5F" w:rsidRPr="00C83B29">
        <w:t xml:space="preserve"> období </w:t>
      </w:r>
      <w:proofErr w:type="gramStart"/>
      <w:r w:rsidR="00133C89" w:rsidRPr="00C83B29">
        <w:t xml:space="preserve">2013 - </w:t>
      </w:r>
      <w:r w:rsidR="001E2303" w:rsidRPr="00C83B29">
        <w:t>2024</w:t>
      </w:r>
      <w:proofErr w:type="gramEnd"/>
      <w:r w:rsidR="00133C89" w:rsidRPr="00C83B29">
        <w:t xml:space="preserve"> </w:t>
      </w:r>
      <w:r w:rsidR="00E9475D" w:rsidRPr="00C83B29">
        <w:t>(+</w:t>
      </w:r>
      <w:r w:rsidR="001E2303" w:rsidRPr="00C83B29">
        <w:t>406</w:t>
      </w:r>
      <w:r w:rsidR="00E9475D" w:rsidRPr="00C83B29">
        <w:t xml:space="preserve"> žáků). </w:t>
      </w:r>
      <w:r w:rsidR="002B7F5F" w:rsidRPr="00C83B29">
        <w:t xml:space="preserve">Vývoj těchto dvou kategorií má </w:t>
      </w:r>
      <w:r w:rsidR="006B4792">
        <w:t>p</w:t>
      </w:r>
      <w:r w:rsidR="002B7F5F" w:rsidRPr="00C83B29">
        <w:t xml:space="preserve">ozitivní vliv na inkasované sdílené daně, prioritní ovšem zůstává vývoj ekonomiky. Dopad změny počtu obyvatel a žáků ve výše uvedených časových horizontech lze ilustrovat modelovým výpočtem sdílených daní dle přílohy zmíněné vyhlášky </w:t>
      </w:r>
      <w:r w:rsidR="001E2303" w:rsidRPr="00C83B29">
        <w:t>301/2025</w:t>
      </w:r>
      <w:r w:rsidR="002B7F5F" w:rsidRPr="00C83B29">
        <w:t xml:space="preserve"> Sb. </w:t>
      </w:r>
      <w:r w:rsidR="00C83B29" w:rsidRPr="00C83B29">
        <w:t xml:space="preserve">Přírůstkem </w:t>
      </w:r>
      <w:r w:rsidR="002B7F5F" w:rsidRPr="00C83B29">
        <w:t xml:space="preserve">počtu obyvatel v uvedeném období město </w:t>
      </w:r>
      <w:r w:rsidR="00C83B29" w:rsidRPr="00C83B29">
        <w:t>získává</w:t>
      </w:r>
      <w:r w:rsidR="00C83B29">
        <w:t xml:space="preserve"> více</w:t>
      </w:r>
      <w:r w:rsidR="004F7C32" w:rsidRPr="004F7C32">
        <w:t xml:space="preserve"> </w:t>
      </w:r>
      <w:r w:rsidR="00117255">
        <w:t xml:space="preserve">o </w:t>
      </w:r>
      <w:r w:rsidR="002B7F5F" w:rsidRPr="004F7C32">
        <w:t xml:space="preserve">cca </w:t>
      </w:r>
      <w:r w:rsidR="00C83B29">
        <w:t>22,</w:t>
      </w:r>
      <w:r>
        <w:t>6</w:t>
      </w:r>
      <w:r w:rsidR="00B777AE">
        <w:t xml:space="preserve"> </w:t>
      </w:r>
      <w:r w:rsidR="002B7F5F" w:rsidRPr="004F7C32">
        <w:t xml:space="preserve">mil. Kč na podílu sdílených daní. V případě uvedeného </w:t>
      </w:r>
      <w:r w:rsidR="00C83B29">
        <w:t>nárůstu</w:t>
      </w:r>
      <w:r w:rsidR="004F7C32" w:rsidRPr="004F7C32">
        <w:t xml:space="preserve"> </w:t>
      </w:r>
      <w:r w:rsidR="002B7F5F" w:rsidRPr="004F7C32">
        <w:t xml:space="preserve">počtu žáků město dostává o cca </w:t>
      </w:r>
      <w:r>
        <w:t>7,6 </w:t>
      </w:r>
      <w:r w:rsidR="002B7F5F" w:rsidRPr="004F7C32">
        <w:t>mil. Kč.</w:t>
      </w:r>
    </w:p>
    <w:p w14:paraId="72F43BEB" w14:textId="6B8A5260" w:rsidR="00737295" w:rsidRPr="006E1C35" w:rsidRDefault="000972D9" w:rsidP="00737295">
      <w:r>
        <w:t>Z</w:t>
      </w:r>
      <w:r w:rsidR="00B01126" w:rsidRPr="00AB7FB1">
        <w:t xml:space="preserve">áporné saldo </w:t>
      </w:r>
      <w:r w:rsidR="00B01126" w:rsidRPr="00C83B29">
        <w:t>hospodaření v</w:t>
      </w:r>
      <w:r w:rsidR="005D10E1" w:rsidRPr="00C83B29">
        <w:t> letech</w:t>
      </w:r>
      <w:r w:rsidR="001E2303" w:rsidRPr="00C83B29">
        <w:t xml:space="preserve"> 2021 a 2024</w:t>
      </w:r>
      <w:r w:rsidR="005D10E1" w:rsidRPr="00C83B29">
        <w:t xml:space="preserve"> </w:t>
      </w:r>
      <w:r w:rsidR="00B01126" w:rsidRPr="00C83B29">
        <w:t>(</w:t>
      </w:r>
      <w:r w:rsidR="001E2303" w:rsidRPr="00C83B29">
        <w:t>18,1, resp. 30,4</w:t>
      </w:r>
      <w:r w:rsidR="005D10E1" w:rsidRPr="00C83B29">
        <w:t xml:space="preserve"> </w:t>
      </w:r>
      <w:r w:rsidR="00B01126" w:rsidRPr="00C83B29">
        <w:t>mil. Kč)</w:t>
      </w:r>
      <w:r w:rsidR="00201E08" w:rsidRPr="00C83B29">
        <w:t xml:space="preserve"> bylo zapříčiněno zvýšenými investičními výdaji. </w:t>
      </w:r>
      <w:r w:rsidR="00AA064A" w:rsidRPr="00C83B29">
        <w:t xml:space="preserve">Po zohlednění financování (uhrazených jistin a přijatých půjček) bylo záporné saldo hospodaření </w:t>
      </w:r>
      <w:r w:rsidR="00C83B29" w:rsidRPr="00C83B29">
        <w:t xml:space="preserve">také v letech </w:t>
      </w:r>
      <w:r w:rsidR="001E2303" w:rsidRPr="00C83B29">
        <w:t>2021 a 2024</w:t>
      </w:r>
      <w:r w:rsidR="005D10E1" w:rsidRPr="00C83B29">
        <w:t xml:space="preserve"> (</w:t>
      </w:r>
      <w:r w:rsidR="001E2303" w:rsidRPr="00C83B29">
        <w:t>22,4, resp. 32,9</w:t>
      </w:r>
      <w:r w:rsidR="005D10E1" w:rsidRPr="00C83B29">
        <w:t xml:space="preserve"> mil. Kč)</w:t>
      </w:r>
      <w:r w:rsidR="00AA064A" w:rsidRPr="00C83B29">
        <w:t xml:space="preserve">. </w:t>
      </w:r>
      <w:r w:rsidR="00B01126" w:rsidRPr="00C83B29">
        <w:t xml:space="preserve">Vliv splácení </w:t>
      </w:r>
      <w:r w:rsidR="006E1C35" w:rsidRPr="00C83B29">
        <w:t>závazků</w:t>
      </w:r>
      <w:r w:rsidR="00B01126" w:rsidRPr="00C83B29">
        <w:t xml:space="preserve"> přijatých v předešlém období se projevil zejména na hodnotách </w:t>
      </w:r>
      <w:r w:rsidR="00457975" w:rsidRPr="00C83B29">
        <w:t>ukazatele</w:t>
      </w:r>
      <w:r w:rsidR="00B01126" w:rsidRPr="00C83B29">
        <w:t xml:space="preserve"> dluhové služby. </w:t>
      </w:r>
      <w:r w:rsidR="00587251" w:rsidRPr="00C83B29">
        <w:t>U</w:t>
      </w:r>
      <w:r w:rsidR="00457975" w:rsidRPr="00C83B29">
        <w:t>kazatel</w:t>
      </w:r>
      <w:r w:rsidR="00B01126" w:rsidRPr="00C83B29">
        <w:t xml:space="preserve"> ve sledovaném období </w:t>
      </w:r>
      <w:r w:rsidR="00587251" w:rsidRPr="00C83B29">
        <w:t>dosahoval</w:t>
      </w:r>
      <w:r w:rsidR="0080352F" w:rsidRPr="00C83B29">
        <w:t xml:space="preserve"> </w:t>
      </w:r>
      <w:r w:rsidR="006E1C35" w:rsidRPr="00C83B29">
        <w:t xml:space="preserve">hodnot v intervalu od </w:t>
      </w:r>
      <w:r w:rsidR="001E2303" w:rsidRPr="00C83B29">
        <w:t>0,99</w:t>
      </w:r>
      <w:r w:rsidR="006E1C35" w:rsidRPr="00C83B29">
        <w:t xml:space="preserve"> % (</w:t>
      </w:r>
      <w:r w:rsidR="001E2303" w:rsidRPr="00C83B29">
        <w:t>2024</w:t>
      </w:r>
      <w:r w:rsidR="006E1C35" w:rsidRPr="00C83B29">
        <w:t>) do</w:t>
      </w:r>
      <w:r w:rsidR="00B01126" w:rsidRPr="00C83B29">
        <w:t xml:space="preserve"> </w:t>
      </w:r>
      <w:r w:rsidR="001E2303" w:rsidRPr="00C83B29">
        <w:t>16,56</w:t>
      </w:r>
      <w:r w:rsidR="00B01126" w:rsidRPr="00C83B29">
        <w:t xml:space="preserve"> %</w:t>
      </w:r>
      <w:r w:rsidR="006E1C35" w:rsidRPr="006E1C35">
        <w:t xml:space="preserve"> (</w:t>
      </w:r>
      <w:r w:rsidR="001E2303">
        <w:t>2020</w:t>
      </w:r>
      <w:r w:rsidR="006E1C35" w:rsidRPr="006E1C35">
        <w:t>)</w:t>
      </w:r>
      <w:r w:rsidR="00B01126" w:rsidRPr="006E1C35">
        <w:t>. V celém sledovaném období se</w:t>
      </w:r>
      <w:r w:rsidR="0080352F" w:rsidRPr="006E1C35">
        <w:t xml:space="preserve"> </w:t>
      </w:r>
      <w:r w:rsidR="006E1C35" w:rsidRPr="006E1C35">
        <w:t>j</w:t>
      </w:r>
      <w:r w:rsidR="00B01126" w:rsidRPr="006E1C35">
        <w:t xml:space="preserve">edná o příznivé hodnoty. </w:t>
      </w:r>
      <w:r w:rsidR="00B01126" w:rsidRPr="00C83B29">
        <w:t xml:space="preserve">Saldo hospodaření v rozpočtu na rok </w:t>
      </w:r>
      <w:r w:rsidR="001E2303" w:rsidRPr="00C83B29">
        <w:t>2025</w:t>
      </w:r>
      <w:r w:rsidR="00B01126" w:rsidRPr="00C83B29">
        <w:t xml:space="preserve"> je kryto </w:t>
      </w:r>
      <w:r w:rsidR="00D15978">
        <w:t>revolvingovým</w:t>
      </w:r>
      <w:r w:rsidR="00FC4969" w:rsidRPr="00C83B29">
        <w:t xml:space="preserve"> úvěrem (</w:t>
      </w:r>
      <w:r w:rsidR="001E2303" w:rsidRPr="00C83B29">
        <w:t>74,5</w:t>
      </w:r>
      <w:r w:rsidR="004E67E6" w:rsidRPr="00C83B29">
        <w:t xml:space="preserve"> </w:t>
      </w:r>
      <w:r w:rsidR="00FC4969" w:rsidRPr="00C83B29">
        <w:t xml:space="preserve">mil. Kč) a </w:t>
      </w:r>
      <w:r w:rsidR="00B01126" w:rsidRPr="00C83B29">
        <w:t xml:space="preserve">přebytky hospodaření minulých let </w:t>
      </w:r>
      <w:r w:rsidR="00FC4969" w:rsidRPr="00C83B29">
        <w:t xml:space="preserve">ve výši </w:t>
      </w:r>
      <w:r w:rsidR="001E2303" w:rsidRPr="00C83B29">
        <w:t>121,2</w:t>
      </w:r>
      <w:r w:rsidR="004E67E6" w:rsidRPr="00C83B29">
        <w:t xml:space="preserve"> </w:t>
      </w:r>
      <w:r w:rsidR="00B01126" w:rsidRPr="00C83B29">
        <w:t>mil. Kč.</w:t>
      </w:r>
      <w:r w:rsidR="00737295" w:rsidRPr="00C83B29">
        <w:t xml:space="preserve"> Skutečn</w:t>
      </w:r>
      <w:r w:rsidR="005E0035" w:rsidRPr="00C83B29">
        <w:t>á</w:t>
      </w:r>
      <w:r w:rsidR="00737295" w:rsidRPr="00C83B29">
        <w:t xml:space="preserve"> výše těchto prostředků bude ovšem záviset na výsledku hospodaření v daném roce a možnostech zapojení investičních transferů.</w:t>
      </w:r>
    </w:p>
    <w:p w14:paraId="72E72FB4" w14:textId="77BA55F1" w:rsidR="00B01126" w:rsidRPr="007F7EE4" w:rsidRDefault="00B01126" w:rsidP="007F7EE4">
      <w:pPr>
        <w:pStyle w:val="Graf0"/>
      </w:pPr>
      <w:bookmarkStart w:id="90" w:name="_Toc55981690"/>
      <w:bookmarkStart w:id="91" w:name="_Toc213758629"/>
      <w:r w:rsidRPr="007F7EE4">
        <w:t>Saldo provozního a kapitálového rozpočtu</w:t>
      </w:r>
      <w:bookmarkEnd w:id="90"/>
      <w:bookmarkEnd w:id="91"/>
    </w:p>
    <w:p w14:paraId="2A1E051A" w14:textId="5A52FC2D" w:rsidR="00B01126" w:rsidRPr="007631EA" w:rsidRDefault="00B622B6" w:rsidP="009B7F5D">
      <w:pPr>
        <w:pStyle w:val="Objekt"/>
      </w:pPr>
      <w:r w:rsidRPr="00B622B6">
        <w:rPr>
          <w:noProof/>
        </w:rPr>
        <w:drawing>
          <wp:inline distT="0" distB="0" distL="0" distR="0" wp14:anchorId="2849D290" wp14:editId="367A33CD">
            <wp:extent cx="6480810" cy="2684145"/>
            <wp:effectExtent l="0" t="0" r="0" b="0"/>
            <wp:docPr id="1152319739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681E6" w14:textId="30D0D228" w:rsidR="00636E72" w:rsidRPr="004D0FAA" w:rsidRDefault="00636E72" w:rsidP="004D0FAA">
      <w:pPr>
        <w:pStyle w:val="Nadpis3"/>
      </w:pPr>
      <w:r w:rsidRPr="004D0FAA">
        <w:t>Rekapitulace</w:t>
      </w:r>
    </w:p>
    <w:p w14:paraId="60A22B05" w14:textId="6D03626C" w:rsidR="00FF3363" w:rsidRDefault="003A104C" w:rsidP="00636E72">
      <w:r>
        <w:t xml:space="preserve">V rámci kapitoly byla provedena analýza hospodaření minulého období s důrazem na </w:t>
      </w:r>
      <w:r w:rsidR="007E238E">
        <w:t>vývoj základních ekonomických u</w:t>
      </w:r>
      <w:r>
        <w:t>kazatelů. Výstup analýzy je základním předpokladem pro sestavení střednědobého výhledu r</w:t>
      </w:r>
      <w:r w:rsidR="008D743B">
        <w:t>o</w:t>
      </w:r>
      <w:r w:rsidR="007E238E">
        <w:t>zpočtu, který je do značné míry</w:t>
      </w:r>
      <w:r w:rsidR="008D743B">
        <w:t xml:space="preserve"> ovlivněn také externími podmínkami. </w:t>
      </w:r>
      <w:r w:rsidR="005F1C01">
        <w:t>Níže uvádíme přehled vybraných výstupů analýzy a externích faktorů, které budou nebo mohou ovlivňovat hospodaření výhledového období.</w:t>
      </w:r>
    </w:p>
    <w:p w14:paraId="4859502F" w14:textId="77777777" w:rsidR="00636E72" w:rsidRPr="0024338B" w:rsidRDefault="00636E72" w:rsidP="00636E72">
      <w:r w:rsidRPr="0024338B">
        <w:t>POZITIVA HOSPODAŘENÍ</w:t>
      </w:r>
    </w:p>
    <w:p w14:paraId="2565EE19" w14:textId="0FCCDF44" w:rsidR="00C14A07" w:rsidRPr="00C83B29" w:rsidRDefault="00C14A07">
      <w:pPr>
        <w:pStyle w:val="Kaskda0"/>
        <w:numPr>
          <w:ilvl w:val="0"/>
          <w:numId w:val="27"/>
        </w:numPr>
      </w:pPr>
      <w:r w:rsidRPr="00C83B29">
        <w:t xml:space="preserve">Bohatá investiční činnost – za pětileté období proinvestováno </w:t>
      </w:r>
      <w:r w:rsidR="001E2303" w:rsidRPr="00C83B29">
        <w:t>427,9</w:t>
      </w:r>
      <w:r w:rsidRPr="00C83B29">
        <w:t xml:space="preserve"> mil. Kč</w:t>
      </w:r>
    </w:p>
    <w:p w14:paraId="1240F68E" w14:textId="42498D04" w:rsidR="00C14A07" w:rsidRPr="00C83B29" w:rsidRDefault="00D91BF6">
      <w:pPr>
        <w:pStyle w:val="Kaskda0"/>
        <w:numPr>
          <w:ilvl w:val="0"/>
          <w:numId w:val="27"/>
        </w:numPr>
      </w:pPr>
      <w:r w:rsidRPr="00C83B29">
        <w:t>Rostoucí trend</w:t>
      </w:r>
      <w:r w:rsidR="00C14A07" w:rsidRPr="00C83B29">
        <w:t xml:space="preserve"> počt</w:t>
      </w:r>
      <w:r w:rsidRPr="00C83B29">
        <w:t>u</w:t>
      </w:r>
      <w:r w:rsidR="00C14A07" w:rsidRPr="00C83B29">
        <w:t xml:space="preserve"> obyvatel a žáků</w:t>
      </w:r>
    </w:p>
    <w:p w14:paraId="423F7622" w14:textId="77777777" w:rsidR="00F30ECE" w:rsidRPr="00C83B29" w:rsidRDefault="00F30ECE">
      <w:pPr>
        <w:pStyle w:val="Kaskda0"/>
        <w:numPr>
          <w:ilvl w:val="0"/>
          <w:numId w:val="27"/>
        </w:numPr>
      </w:pPr>
      <w:r w:rsidRPr="00C83B29">
        <w:t>Pokles úrokových sazeb</w:t>
      </w:r>
    </w:p>
    <w:p w14:paraId="613F51B8" w14:textId="1A0BF27A" w:rsidR="00C14A07" w:rsidRPr="00C83B29" w:rsidRDefault="00C14A07">
      <w:pPr>
        <w:pStyle w:val="Kaskda0"/>
        <w:numPr>
          <w:ilvl w:val="0"/>
          <w:numId w:val="27"/>
        </w:numPr>
      </w:pPr>
      <w:r w:rsidRPr="00C83B29">
        <w:t xml:space="preserve">Optimální hodnota provozního hospodaření (minimální hodnota PP/BP </w:t>
      </w:r>
      <w:r w:rsidR="001E2303" w:rsidRPr="00C83B29">
        <w:t>29,66</w:t>
      </w:r>
      <w:r w:rsidRPr="00C83B29">
        <w:t xml:space="preserve"> % při optimální</w:t>
      </w:r>
      <w:r w:rsidR="000628F6" w:rsidRPr="00C83B29">
        <w:t>m intervalu</w:t>
      </w:r>
      <w:r w:rsidRPr="00C83B29">
        <w:t xml:space="preserve"> 25</w:t>
      </w:r>
      <w:r w:rsidR="000628F6" w:rsidRPr="00C83B29">
        <w:t>-45</w:t>
      </w:r>
      <w:r w:rsidRPr="00C83B29">
        <w:t xml:space="preserve"> %)</w:t>
      </w:r>
    </w:p>
    <w:p w14:paraId="516639A6" w14:textId="08A61745" w:rsidR="00243072" w:rsidRPr="00C83B29" w:rsidRDefault="00C14A07">
      <w:pPr>
        <w:pStyle w:val="Kaskda0"/>
        <w:numPr>
          <w:ilvl w:val="0"/>
          <w:numId w:val="27"/>
        </w:numPr>
      </w:pPr>
      <w:r w:rsidRPr="00C83B29">
        <w:t xml:space="preserve">Nízké dluhové zatížení (maximální hodnota fiskálního pravidla </w:t>
      </w:r>
      <w:r w:rsidR="001E2303" w:rsidRPr="00C83B29">
        <w:t>9,38 %</w:t>
      </w:r>
      <w:r w:rsidRPr="00C83B29">
        <w:t>)</w:t>
      </w:r>
    </w:p>
    <w:p w14:paraId="346791A1" w14:textId="2BD33FEE" w:rsidR="00243072" w:rsidRPr="00C83B29" w:rsidRDefault="00243072">
      <w:pPr>
        <w:pStyle w:val="Kaskda0"/>
        <w:numPr>
          <w:ilvl w:val="0"/>
          <w:numId w:val="27"/>
        </w:numPr>
        <w:rPr>
          <w:rStyle w:val="Odkaznakoment"/>
          <w:sz w:val="22"/>
          <w:szCs w:val="19"/>
        </w:rPr>
      </w:pPr>
      <w:r w:rsidRPr="00C83B29">
        <w:rPr>
          <w:szCs w:val="22"/>
        </w:rPr>
        <w:t xml:space="preserve">Dostatečná rezerva finančních </w:t>
      </w:r>
      <w:proofErr w:type="gramStart"/>
      <w:r w:rsidRPr="00C83B29">
        <w:rPr>
          <w:szCs w:val="22"/>
        </w:rPr>
        <w:t>prostředků - z</w:t>
      </w:r>
      <w:r w:rsidRPr="00C83B29">
        <w:rPr>
          <w:rStyle w:val="Odkaznakoment"/>
          <w:rFonts w:cstheme="minorHAnsi"/>
          <w:sz w:val="22"/>
          <w:szCs w:val="22"/>
        </w:rPr>
        <w:t>ůstatky</w:t>
      </w:r>
      <w:proofErr w:type="gramEnd"/>
      <w:r w:rsidRPr="00C83B29">
        <w:rPr>
          <w:rStyle w:val="Odkaznakoment"/>
          <w:rFonts w:cstheme="minorHAnsi"/>
          <w:sz w:val="22"/>
          <w:szCs w:val="22"/>
        </w:rPr>
        <w:t xml:space="preserve"> na účtech na konci roku </w:t>
      </w:r>
      <w:r w:rsidR="001E2303" w:rsidRPr="00C83B29">
        <w:rPr>
          <w:szCs w:val="22"/>
        </w:rPr>
        <w:t>2024</w:t>
      </w:r>
      <w:r w:rsidRPr="00C83B29">
        <w:rPr>
          <w:rStyle w:val="Odkaznakoment"/>
          <w:rFonts w:cstheme="minorHAnsi"/>
          <w:sz w:val="22"/>
          <w:szCs w:val="22"/>
        </w:rPr>
        <w:t xml:space="preserve"> ve výši </w:t>
      </w:r>
      <w:r w:rsidR="001E2303" w:rsidRPr="00C83B29">
        <w:rPr>
          <w:szCs w:val="22"/>
        </w:rPr>
        <w:t>174,3</w:t>
      </w:r>
      <w:r w:rsidR="00D15978">
        <w:rPr>
          <w:rStyle w:val="Odkaznakoment"/>
          <w:rFonts w:cstheme="minorHAnsi"/>
          <w:sz w:val="22"/>
          <w:szCs w:val="22"/>
        </w:rPr>
        <w:t> </w:t>
      </w:r>
      <w:r w:rsidRPr="00C83B29">
        <w:rPr>
          <w:rStyle w:val="Odkaznakoment"/>
          <w:rFonts w:cstheme="minorHAnsi"/>
          <w:sz w:val="22"/>
          <w:szCs w:val="22"/>
        </w:rPr>
        <w:t>mil.</w:t>
      </w:r>
      <w:r w:rsidR="00D15978">
        <w:rPr>
          <w:rStyle w:val="Odkaznakoment"/>
          <w:rFonts w:cstheme="minorHAnsi"/>
          <w:sz w:val="22"/>
          <w:szCs w:val="22"/>
        </w:rPr>
        <w:t> </w:t>
      </w:r>
      <w:r w:rsidRPr="00C83B29">
        <w:rPr>
          <w:rStyle w:val="Odkaznakoment"/>
          <w:rFonts w:cstheme="minorHAnsi"/>
          <w:sz w:val="22"/>
          <w:szCs w:val="22"/>
        </w:rPr>
        <w:t>Kč</w:t>
      </w:r>
    </w:p>
    <w:p w14:paraId="014DC128" w14:textId="77777777" w:rsidR="00636E72" w:rsidRPr="0069225D" w:rsidRDefault="00ED670E" w:rsidP="00636E72">
      <w:r w:rsidRPr="0069225D">
        <w:lastRenderedPageBreak/>
        <w:t>MOŽNÉ OHROŽENÍ</w:t>
      </w:r>
      <w:r w:rsidR="00636E72" w:rsidRPr="0069225D">
        <w:t xml:space="preserve"> HOSPODAŘENÍ</w:t>
      </w:r>
    </w:p>
    <w:p w14:paraId="1EF7C50B" w14:textId="04FA8CB7" w:rsidR="00C14A07" w:rsidRPr="00C83B29" w:rsidRDefault="00D91BF6">
      <w:pPr>
        <w:pStyle w:val="Kaskda0"/>
        <w:numPr>
          <w:ilvl w:val="0"/>
          <w:numId w:val="26"/>
        </w:numPr>
      </w:pPr>
      <w:r w:rsidRPr="00C83B29">
        <w:t>Potenciální</w:t>
      </w:r>
      <w:r w:rsidR="0001162A" w:rsidRPr="00C83B29">
        <w:t xml:space="preserve"> ekonomická krize</w:t>
      </w:r>
    </w:p>
    <w:p w14:paraId="05DEDFBF" w14:textId="77777777" w:rsidR="00C83B29" w:rsidRPr="00C83B29" w:rsidRDefault="00C83B29" w:rsidP="00C83B29">
      <w:pPr>
        <w:pStyle w:val="Kaskda0"/>
        <w:numPr>
          <w:ilvl w:val="0"/>
          <w:numId w:val="26"/>
        </w:numPr>
      </w:pPr>
      <w:r w:rsidRPr="00C83B29">
        <w:t>Využívání vypisovaných investičních dotačních titulů (kryto 9,2 % investic)</w:t>
      </w:r>
    </w:p>
    <w:p w14:paraId="224F029A" w14:textId="23FDE315" w:rsidR="00C14A07" w:rsidRPr="00C83B29" w:rsidRDefault="00C14A07">
      <w:pPr>
        <w:pStyle w:val="Kaskda0"/>
        <w:numPr>
          <w:ilvl w:val="0"/>
          <w:numId w:val="26"/>
        </w:numPr>
      </w:pPr>
      <w:r w:rsidRPr="00C83B29">
        <w:t xml:space="preserve">Zvýšené nároky na krytí provozních i kapitálových výdajů – platy, </w:t>
      </w:r>
      <w:r w:rsidR="005F2870" w:rsidRPr="00C83B29">
        <w:t xml:space="preserve">ceny </w:t>
      </w:r>
      <w:r w:rsidRPr="00C83B29">
        <w:t>energ</w:t>
      </w:r>
      <w:r w:rsidR="005F2870" w:rsidRPr="00C83B29">
        <w:t>ií</w:t>
      </w:r>
      <w:r w:rsidRPr="00C83B29">
        <w:t>, inflace (ceny materiálu,</w:t>
      </w:r>
      <w:r w:rsidR="00D15978">
        <w:t xml:space="preserve"> </w:t>
      </w:r>
      <w:r w:rsidRPr="00C83B29">
        <w:t>služeb apod.)</w:t>
      </w:r>
    </w:p>
    <w:p w14:paraId="71ABBAAF" w14:textId="77777777" w:rsidR="00D15978" w:rsidRPr="00897306" w:rsidRDefault="00D15978" w:rsidP="00D15978">
      <w:pPr>
        <w:pStyle w:val="Kaskda0"/>
        <w:numPr>
          <w:ilvl w:val="0"/>
          <w:numId w:val="26"/>
        </w:numPr>
      </w:pPr>
      <w:r>
        <w:t>Výsledky voleb do PS</w:t>
      </w:r>
    </w:p>
    <w:p w14:paraId="6D0E62FB" w14:textId="2AD66D0E" w:rsidR="00C14A07" w:rsidRPr="00C83B29" w:rsidRDefault="00D25CE0">
      <w:pPr>
        <w:pStyle w:val="Kaskda0"/>
        <w:numPr>
          <w:ilvl w:val="0"/>
          <w:numId w:val="26"/>
        </w:numPr>
      </w:pPr>
      <w:r>
        <w:t>M</w:t>
      </w:r>
      <w:r w:rsidR="00E513AC" w:rsidRPr="00C83B29">
        <w:t>ezinárodní politická situace</w:t>
      </w:r>
    </w:p>
    <w:p w14:paraId="5BF83609" w14:textId="77777777" w:rsidR="00066709" w:rsidRDefault="00066709" w:rsidP="00066709">
      <w:pPr>
        <w:pStyle w:val="Kaskda0"/>
        <w:numPr>
          <w:ilvl w:val="0"/>
          <w:numId w:val="0"/>
        </w:numPr>
        <w:rPr>
          <w:highlight w:val="yellow"/>
        </w:rPr>
      </w:pPr>
      <w:r>
        <w:rPr>
          <w:highlight w:val="yellow"/>
        </w:rPr>
        <w:br w:type="page"/>
      </w:r>
    </w:p>
    <w:p w14:paraId="5C3DE50A" w14:textId="77777777" w:rsidR="00B01126" w:rsidRPr="00493382" w:rsidRDefault="00B01126" w:rsidP="00993408">
      <w:pPr>
        <w:pStyle w:val="Nadpis1"/>
      </w:pPr>
      <w:bookmarkStart w:id="92" w:name="_Toc368988442"/>
      <w:bookmarkStart w:id="93" w:name="_Toc370281263"/>
      <w:bookmarkStart w:id="94" w:name="_Toc62211722"/>
      <w:bookmarkStart w:id="95" w:name="_Toc213758993"/>
      <w:r w:rsidRPr="00493382">
        <w:lastRenderedPageBreak/>
        <w:t>Střednědobý výhled rozpočtu</w:t>
      </w:r>
      <w:bookmarkEnd w:id="92"/>
      <w:bookmarkEnd w:id="93"/>
      <w:bookmarkEnd w:id="94"/>
      <w:bookmarkEnd w:id="95"/>
    </w:p>
    <w:p w14:paraId="24B36443" w14:textId="77777777" w:rsidR="00F01504" w:rsidRPr="00C83B29" w:rsidRDefault="00F01504" w:rsidP="00F01504">
      <w:r w:rsidRPr="00493382">
        <w:t xml:space="preserve">Střednědobý výhled rozpočtu je sestaven s jistou mírou opatrnosti, tzn. s mírně nižšími očekávanými příjmy a </w:t>
      </w:r>
      <w:r w:rsidRPr="00C83B29">
        <w:t xml:space="preserve">trochu nadhodnocenými výdaji. Je ale postaven na reálných základech. </w:t>
      </w:r>
    </w:p>
    <w:p w14:paraId="72D4164C" w14:textId="1DE94022" w:rsidR="004A60BC" w:rsidRPr="00F01504" w:rsidRDefault="004A60BC" w:rsidP="00A80979">
      <w:r w:rsidRPr="00C83B29">
        <w:t xml:space="preserve">Jedním z mála zjednodušení při sestavování </w:t>
      </w:r>
      <w:r w:rsidR="00477DD1">
        <w:tab/>
      </w:r>
      <w:r w:rsidRPr="00C83B29">
        <w:t>SVR je vypuštění neinvestičních transferů s účelovým znakem</w:t>
      </w:r>
      <w:r w:rsidR="00477DD1">
        <w:t>,</w:t>
      </w:r>
      <w:r w:rsidRPr="00C83B29">
        <w:t xml:space="preserve"> a to jak na straně příjmové, tak i výdajové (např. neinvestiční přijaté transfery ze státního rozpočtu zejména na položkách 4111 a 4116, apod.). Transfery na příjmové i výdajové straně působí neutrálně na saldo hospodaření, zvyšují však hodnoty příjmů a výdajů. Zároveň nezahrnutím těchto vybraných transferů může meziroční vývoj některých ukazatelů nebo celkových objemů navodit dojem zhoršeného hospodaření.</w:t>
      </w:r>
    </w:p>
    <w:p w14:paraId="028E12B7" w14:textId="6B0B50D6" w:rsidR="00B01126" w:rsidRPr="00A2717D" w:rsidRDefault="005C35CB" w:rsidP="009A770A">
      <w:pPr>
        <w:pStyle w:val="Tabulka"/>
      </w:pPr>
      <w:bookmarkStart w:id="96" w:name="_Toc365274726"/>
      <w:bookmarkStart w:id="97" w:name="_Toc368988412"/>
      <w:bookmarkStart w:id="98" w:name="_Toc428350385"/>
      <w:bookmarkStart w:id="99" w:name="_Toc55981703"/>
      <w:bookmarkStart w:id="100" w:name="_Toc213758609"/>
      <w:r w:rsidRPr="009A770A">
        <w:t>K</w:t>
      </w:r>
      <w:r w:rsidR="00B01126" w:rsidRPr="009A770A">
        <w:t>umulovaný střednědobý výhled rozpočt</w:t>
      </w:r>
      <w:r w:rsidR="00B01126" w:rsidRPr="00A2717D">
        <w:t>u</w:t>
      </w:r>
      <w:bookmarkEnd w:id="96"/>
      <w:bookmarkEnd w:id="97"/>
      <w:bookmarkEnd w:id="98"/>
      <w:bookmarkEnd w:id="99"/>
      <w:bookmarkEnd w:id="100"/>
    </w:p>
    <w:p w14:paraId="1F70A10B" w14:textId="53C0CEBE" w:rsidR="00B01126" w:rsidRPr="00A2717D" w:rsidRDefault="00B622B6" w:rsidP="00A2717D">
      <w:pPr>
        <w:pStyle w:val="Objekt"/>
        <w:rPr>
          <w:vertAlign w:val="subscript"/>
          <w:lang w:val="en-US"/>
        </w:rPr>
      </w:pPr>
      <w:r w:rsidRPr="00B622B6">
        <w:rPr>
          <w:noProof/>
          <w:vertAlign w:val="subscript"/>
          <w:lang w:val="en-US"/>
        </w:rPr>
        <w:drawing>
          <wp:inline distT="0" distB="0" distL="0" distR="0" wp14:anchorId="75144D67" wp14:editId="1B4BC1BA">
            <wp:extent cx="6480810" cy="4128135"/>
            <wp:effectExtent l="0" t="0" r="0" b="5715"/>
            <wp:docPr id="59808329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BD41" w14:textId="77777777" w:rsidR="00B01126" w:rsidRPr="007631EA" w:rsidRDefault="00B01126" w:rsidP="00993408">
      <w:pPr>
        <w:pStyle w:val="Nadpis2"/>
      </w:pPr>
      <w:bookmarkStart w:id="101" w:name="_Toc62211723"/>
      <w:bookmarkStart w:id="102" w:name="_Toc213758994"/>
      <w:r w:rsidRPr="007631EA">
        <w:t>Provozní hospodaření výhledového období</w:t>
      </w:r>
      <w:bookmarkEnd w:id="101"/>
      <w:bookmarkEnd w:id="102"/>
    </w:p>
    <w:p w14:paraId="0410258F" w14:textId="77777777" w:rsidR="00B01126" w:rsidRDefault="009A770A" w:rsidP="00993408">
      <w:r>
        <w:t>Obsah kapitoly je zaměřen na vybrané části sestaveného střednědobého výhledu rozpočtu</w:t>
      </w:r>
      <w:r w:rsidRPr="007631EA">
        <w:t xml:space="preserve">, který zobrazuje </w:t>
      </w:r>
      <w:r>
        <w:t xml:space="preserve">uvedená </w:t>
      </w:r>
      <w:r w:rsidRPr="007631EA">
        <w:t>tabulka kumulovaného výhledu</w:t>
      </w:r>
      <w:r>
        <w:t>.</w:t>
      </w:r>
    </w:p>
    <w:p w14:paraId="77356DBD" w14:textId="38E48030" w:rsidR="00BA7574" w:rsidRDefault="00B616B6" w:rsidP="00993408">
      <w:r w:rsidRPr="00B616B6">
        <w:t>Hodnoty SVR, převážně v provozní části, jsou ovlivněny primárně konsolidačním balíčkem, sekundárně politikou EU, zejména prosazování</w:t>
      </w:r>
      <w:r w:rsidR="00163F57">
        <w:t>m</w:t>
      </w:r>
      <w:r w:rsidRPr="00B616B6">
        <w:t xml:space="preserve"> green </w:t>
      </w:r>
      <w:proofErr w:type="spellStart"/>
      <w:r w:rsidRPr="00B616B6">
        <w:t>dealu</w:t>
      </w:r>
      <w:proofErr w:type="spellEnd"/>
      <w:r w:rsidRPr="00B616B6">
        <w:t xml:space="preserve"> v původně schválených mantinelech.</w:t>
      </w:r>
    </w:p>
    <w:p w14:paraId="7A7D823D" w14:textId="6A8BA216" w:rsidR="004F584E" w:rsidRPr="004D0FAA" w:rsidRDefault="00FF3363" w:rsidP="004F584E">
      <w:pPr>
        <w:pStyle w:val="Nadpis3"/>
      </w:pPr>
      <w:r>
        <w:t>Sdílené daně</w:t>
      </w:r>
    </w:p>
    <w:p w14:paraId="06A880C9" w14:textId="6601533B" w:rsidR="00624C88" w:rsidRDefault="00163F57" w:rsidP="00624C88">
      <w:r w:rsidRPr="00B616B6">
        <w:t xml:space="preserve">Příjmy ze sdílených daní meziročně rostou, jsou určeny předpokládaným vývojem na základě schváleného státního rozpočtu na rok </w:t>
      </w:r>
      <w:r>
        <w:t>2025</w:t>
      </w:r>
      <w:r w:rsidRPr="00B616B6">
        <w:t xml:space="preserve">, </w:t>
      </w:r>
      <w:r>
        <w:t xml:space="preserve">návrhu státního rozpočtu na rok 2026, </w:t>
      </w:r>
      <w:r w:rsidRPr="00B616B6">
        <w:t xml:space="preserve">střednědobého výhledu státu na roky </w:t>
      </w:r>
      <w:proofErr w:type="gramStart"/>
      <w:r>
        <w:t>2027 - 2028</w:t>
      </w:r>
      <w:proofErr w:type="gramEnd"/>
      <w:r w:rsidRPr="00B616B6">
        <w:t xml:space="preserve"> a následnou predikcí do roku </w:t>
      </w:r>
      <w:r>
        <w:t>2030</w:t>
      </w:r>
      <w:r w:rsidR="00B616B6" w:rsidRPr="00B616B6">
        <w:t xml:space="preserve">. </w:t>
      </w:r>
      <w:r w:rsidR="00624C88" w:rsidRPr="008E08A0">
        <w:t xml:space="preserve">Nárůst sdílených daní od roku </w:t>
      </w:r>
      <w:r w:rsidR="001E2303">
        <w:t>2026</w:t>
      </w:r>
      <w:r w:rsidR="00624C88" w:rsidRPr="008E08A0">
        <w:t xml:space="preserve"> (prvního roku SVR) do konce SVR je </w:t>
      </w:r>
      <w:r w:rsidR="001E2303">
        <w:t>33,2</w:t>
      </w:r>
      <w:r w:rsidR="00624C88">
        <w:t xml:space="preserve"> </w:t>
      </w:r>
      <w:r w:rsidR="00624C88" w:rsidRPr="008E08A0">
        <w:t>mil. Kč.</w:t>
      </w:r>
    </w:p>
    <w:p w14:paraId="0C70A53A" w14:textId="1B906C2B" w:rsidR="004C28B2" w:rsidRDefault="004C28B2" w:rsidP="00993408">
      <w:r>
        <w:t>V následujícím grafu je znázorněn vývoj sdílených daní v porovnání s hodnotami predikcí zv</w:t>
      </w:r>
      <w:r w:rsidR="007E238E">
        <w:t>e</w:t>
      </w:r>
      <w:r>
        <w:t>řejněných MF. Je zřejmé, že skutečně dosažené hodnoty jsou zpravidla vyšší než tyto výchozí predikce.</w:t>
      </w:r>
    </w:p>
    <w:p w14:paraId="587F53AC" w14:textId="0A8D7029" w:rsidR="004F584E" w:rsidRPr="00122D55" w:rsidRDefault="004D69EB" w:rsidP="004F584E">
      <w:pPr>
        <w:pStyle w:val="Graf0"/>
      </w:pPr>
      <w:bookmarkStart w:id="103" w:name="_Toc21375863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45F4D5" wp14:editId="04193B29">
                <wp:simplePos x="0" y="0"/>
                <wp:positionH relativeFrom="margin">
                  <wp:posOffset>5007610</wp:posOffset>
                </wp:positionH>
                <wp:positionV relativeFrom="paragraph">
                  <wp:posOffset>58420</wp:posOffset>
                </wp:positionV>
                <wp:extent cx="1479550" cy="831850"/>
                <wp:effectExtent l="0" t="0" r="6350" b="6350"/>
                <wp:wrapSquare wrapText="bothSides"/>
                <wp:docPr id="6176422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0EA85" w14:textId="77777777" w:rsidR="002C381E" w:rsidRPr="00957F27" w:rsidRDefault="002C381E" w:rsidP="00957F27">
                            <w:pPr>
                              <w:pStyle w:val="Citt"/>
                            </w:pPr>
                            <w:r w:rsidRPr="00957F27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Hodnoty sdílených daní se nejvíce podílejí na vývoji provozních příjmů</w:t>
                            </w:r>
                          </w:p>
                          <w:p w14:paraId="4ED4DDEB" w14:textId="77777777" w:rsidR="002C381E" w:rsidRPr="00957F27" w:rsidRDefault="002C381E" w:rsidP="002C381E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5F4D5" id="_x0000_s1038" type="#_x0000_t202" style="position:absolute;left:0;text-align:left;margin-left:394.3pt;margin-top:4.6pt;width:116.5pt;height:65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" stroked="f">
                <v:textbox>
                  <w:txbxContent>
                    <w:p w14:paraId="3570EA85" w14:textId="77777777" w:rsidR="002C381E" w:rsidRPr="00957F27" w:rsidRDefault="002C381E" w:rsidP="00957F27">
                      <w:pPr>
                        <w:pStyle w:val="Citt"/>
                      </w:pPr>
                      <w:r w:rsidRPr="00957F27">
                        <w:rPr>
                          <w:rStyle w:val="Odkaznakoment"/>
                          <w:sz w:val="22"/>
                          <w:szCs w:val="22"/>
                        </w:rPr>
                        <w:t>Hodnoty sdílených daní se nejvíce podílejí na vývoji provozních příjmů</w:t>
                      </w:r>
                    </w:p>
                    <w:p w14:paraId="4ED4DDEB" w14:textId="77777777" w:rsidR="002C381E" w:rsidRPr="00957F27" w:rsidRDefault="002C381E" w:rsidP="002C381E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584E" w:rsidRPr="00122D55">
        <w:t>Vývoj sdílených daní</w:t>
      </w:r>
      <w:bookmarkEnd w:id="103"/>
    </w:p>
    <w:p w14:paraId="27B9D0C4" w14:textId="7ABA8030" w:rsidR="004F584E" w:rsidRDefault="00B622B6" w:rsidP="00993408">
      <w:r w:rsidRPr="00B622B6">
        <w:rPr>
          <w:noProof/>
        </w:rPr>
        <w:drawing>
          <wp:inline distT="0" distB="0" distL="0" distR="0" wp14:anchorId="02D51992" wp14:editId="18E4B039">
            <wp:extent cx="4851400" cy="2009295"/>
            <wp:effectExtent l="0" t="0" r="0" b="0"/>
            <wp:docPr id="959563784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11" cy="201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ABC88" w14:textId="67B27234" w:rsidR="009A770A" w:rsidRPr="00522B81" w:rsidRDefault="009A770A" w:rsidP="009A770A">
      <w:pPr>
        <w:pStyle w:val="Poznmka"/>
      </w:pPr>
      <w:r>
        <w:t>Poznámka: H</w:t>
      </w:r>
      <w:r w:rsidRPr="00522B81">
        <w:t xml:space="preserve">odnoty </w:t>
      </w:r>
      <w:r>
        <w:t xml:space="preserve">sdílených daní dle MF vycházejí do roku </w:t>
      </w:r>
      <w:r w:rsidR="001E2303">
        <w:t>2025</w:t>
      </w:r>
      <w:r>
        <w:t xml:space="preserve"> ze schváleného státního rozpočtu na daný rok, resp. z jeho upřesněných hodnot v průběhu roku. Roky </w:t>
      </w:r>
      <w:proofErr w:type="gramStart"/>
      <w:r w:rsidR="001E2303">
        <w:t>2026 - 2028</w:t>
      </w:r>
      <w:proofErr w:type="gramEnd"/>
      <w:r>
        <w:t xml:space="preserve"> pak vycházejí z hodnot </w:t>
      </w:r>
      <w:r w:rsidR="0030731E" w:rsidRPr="00163F57">
        <w:t>návrhu státního rozpočtu</w:t>
      </w:r>
      <w:r w:rsidR="001933FE" w:rsidRPr="00163F57">
        <w:t>,</w:t>
      </w:r>
      <w:r w:rsidR="0030731E" w:rsidRPr="00163F57">
        <w:t xml:space="preserve"> resp</w:t>
      </w:r>
      <w:r w:rsidR="0030731E" w:rsidRPr="00C36302">
        <w:rPr>
          <w:highlight w:val="yellow"/>
        </w:rPr>
        <w:t>.</w:t>
      </w:r>
      <w:r w:rsidR="0030731E" w:rsidRPr="0003062A">
        <w:t xml:space="preserve"> </w:t>
      </w:r>
      <w:r w:rsidRPr="0003062A">
        <w:t>střednědobého</w:t>
      </w:r>
      <w:r>
        <w:t xml:space="preserve"> výhledu státního</w:t>
      </w:r>
      <w:r w:rsidRPr="00522B81">
        <w:t xml:space="preserve"> rozpočtu</w:t>
      </w:r>
    </w:p>
    <w:p w14:paraId="4B6F7244" w14:textId="54F67165" w:rsidR="00B01126" w:rsidRPr="004D0FAA" w:rsidRDefault="00B01126" w:rsidP="004D0FAA">
      <w:pPr>
        <w:pStyle w:val="Nadpis3"/>
      </w:pPr>
      <w:r w:rsidRPr="004D0FAA">
        <w:t>Hodnoty provozního hospodaření</w:t>
      </w:r>
    </w:p>
    <w:p w14:paraId="0D7F71C6" w14:textId="7D2DCB86" w:rsidR="00B01126" w:rsidRPr="001933FE" w:rsidRDefault="00B01126" w:rsidP="00993408">
      <w:r w:rsidRPr="00901D19">
        <w:t xml:space="preserve">Pro celkový pohled na predikci hospodaření v období střednědobého výhledu rozpočtu má zásadní význam vývoj </w:t>
      </w:r>
      <w:r w:rsidR="00D9228F">
        <w:t xml:space="preserve">hodnot </w:t>
      </w:r>
      <w:r w:rsidRPr="00901D19">
        <w:t xml:space="preserve">provozních příjmů a výdajů. Na základě </w:t>
      </w:r>
      <w:r w:rsidRPr="001933FE">
        <w:t xml:space="preserve">analýzy hospodaření v uplynulém pětiletém období, platného rozpočtu a konzultací s pracovníky </w:t>
      </w:r>
      <w:r w:rsidR="004F584E" w:rsidRPr="001933FE">
        <w:t>finančního o</w:t>
      </w:r>
      <w:r w:rsidRPr="001933FE">
        <w:t xml:space="preserve">dboru byl </w:t>
      </w:r>
      <w:r w:rsidR="004F584E" w:rsidRPr="001933FE">
        <w:t>predikován</w:t>
      </w:r>
      <w:r w:rsidRPr="001933FE">
        <w:t xml:space="preserve"> vývoj jednotlivých </w:t>
      </w:r>
      <w:r w:rsidR="004F584E" w:rsidRPr="001933FE">
        <w:t xml:space="preserve">provozních </w:t>
      </w:r>
      <w:r w:rsidRPr="001933FE">
        <w:t>položek. Souhrnný pohled na hodnoty celkových prov</w:t>
      </w:r>
      <w:r w:rsidRPr="00901D19">
        <w:t xml:space="preserve">ozních (běžných) </w:t>
      </w:r>
      <w:r w:rsidRPr="001933FE">
        <w:t>příjmů a výdajů je zobrazen v následujícím grafu. V něm je ve výhledovém období zachycen mírně se zvětšující rozdíl mezi těmito dvěma základními hodnotami hospodaření města.</w:t>
      </w:r>
    </w:p>
    <w:p w14:paraId="6D3C6EF3" w14:textId="2F7AFBF4" w:rsidR="00B01126" w:rsidRPr="001933FE" w:rsidRDefault="0069135A" w:rsidP="007F7EE4">
      <w:pPr>
        <w:pStyle w:val="Graf0"/>
      </w:pPr>
      <w:bookmarkStart w:id="104" w:name="_Toc365274608"/>
      <w:bookmarkStart w:id="105" w:name="_Toc368988394"/>
      <w:bookmarkStart w:id="106" w:name="_Toc428351160"/>
      <w:bookmarkStart w:id="107" w:name="_Toc428357455"/>
      <w:bookmarkStart w:id="108" w:name="_Toc55981692"/>
      <w:bookmarkStart w:id="109" w:name="_Toc213758631"/>
      <w:r w:rsidRPr="001933FE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AFE906B" wp14:editId="3E5D30FC">
                <wp:simplePos x="0" y="0"/>
                <wp:positionH relativeFrom="margin">
                  <wp:posOffset>4965700</wp:posOffset>
                </wp:positionH>
                <wp:positionV relativeFrom="paragraph">
                  <wp:posOffset>3810</wp:posOffset>
                </wp:positionV>
                <wp:extent cx="1479550" cy="1426845"/>
                <wp:effectExtent l="0" t="0" r="6350" b="1905"/>
                <wp:wrapSquare wrapText="bothSides"/>
                <wp:docPr id="3469826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42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2C10A" w14:textId="77777777" w:rsidR="00CC0D8B" w:rsidRPr="00082C15" w:rsidRDefault="00CC0D8B" w:rsidP="00CC0D8B">
                            <w:pPr>
                              <w:spacing w:before="0" w:after="0"/>
                              <w:jc w:val="left"/>
                              <w:rPr>
                                <w:rStyle w:val="Odkaznakoment"/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82C15">
                              <w:rPr>
                                <w:rStyle w:val="Odkaznakoment"/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Rychleji rostoucí provozní př</w:t>
                            </w:r>
                            <w:r>
                              <w:rPr>
                                <w:rStyle w:val="Odkaznakoment"/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í</w:t>
                            </w:r>
                            <w:r w:rsidRPr="00082C15">
                              <w:rPr>
                                <w:rStyle w:val="Odkaznakoment"/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jmy</w:t>
                            </w:r>
                            <w:r>
                              <w:rPr>
                                <w:rStyle w:val="Odkaznakoment"/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82C15">
                              <w:rPr>
                                <w:rStyle w:val="Odkaznakoment"/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Odkaznakoment"/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n</w:t>
                            </w:r>
                            <w:r w:rsidRPr="00082C15">
                              <w:rPr>
                                <w:rStyle w:val="Odkaznakoment"/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ež provozní výdaje jsou příčinou zvyšující se hodnoty provozního přebytku</w:t>
                            </w:r>
                          </w:p>
                          <w:p w14:paraId="3014645B" w14:textId="289D2EA2" w:rsidR="0069135A" w:rsidRPr="00957F27" w:rsidRDefault="0069135A" w:rsidP="0069135A">
                            <w:pPr>
                              <w:pStyle w:val="Citt"/>
                            </w:pPr>
                          </w:p>
                          <w:p w14:paraId="195AB793" w14:textId="77777777" w:rsidR="0069135A" w:rsidRPr="00957F27" w:rsidRDefault="0069135A" w:rsidP="0069135A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E906B" id="_x0000_s1039" type="#_x0000_t202" style="position:absolute;left:0;text-align:left;margin-left:391pt;margin-top:.3pt;width:116.5pt;height:112.3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" stroked="f">
                <v:textbox>
                  <w:txbxContent>
                    <w:p w14:paraId="3112C10A" w14:textId="77777777" w:rsidR="00CC0D8B" w:rsidRPr="00082C15" w:rsidRDefault="00CC0D8B" w:rsidP="00CC0D8B">
                      <w:pPr>
                        <w:spacing w:before="0" w:after="0"/>
                        <w:jc w:val="left"/>
                        <w:rPr>
                          <w:rStyle w:val="Odkaznakoment"/>
                          <w:b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082C15">
                        <w:rPr>
                          <w:rStyle w:val="Odkaznakoment"/>
                          <w:b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Rychleji rostoucí provozní př</w:t>
                      </w:r>
                      <w:r>
                        <w:rPr>
                          <w:rStyle w:val="Odkaznakoment"/>
                          <w:b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í</w:t>
                      </w:r>
                      <w:r w:rsidRPr="00082C15">
                        <w:rPr>
                          <w:rStyle w:val="Odkaznakoment"/>
                          <w:b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jmy</w:t>
                      </w:r>
                      <w:r>
                        <w:rPr>
                          <w:rStyle w:val="Odkaznakoment"/>
                          <w:b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82C15">
                        <w:rPr>
                          <w:rStyle w:val="Odkaznakoment"/>
                          <w:b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Odkaznakoment"/>
                          <w:b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n</w:t>
                      </w:r>
                      <w:r w:rsidRPr="00082C15">
                        <w:rPr>
                          <w:rStyle w:val="Odkaznakoment"/>
                          <w:b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ež provozní výdaje jsou příčinou zvyšující se hodnoty provozního přebytku</w:t>
                      </w:r>
                    </w:p>
                    <w:p w14:paraId="3014645B" w14:textId="289D2EA2" w:rsidR="0069135A" w:rsidRPr="00957F27" w:rsidRDefault="0069135A" w:rsidP="0069135A">
                      <w:pPr>
                        <w:pStyle w:val="Citt"/>
                      </w:pPr>
                    </w:p>
                    <w:p w14:paraId="195AB793" w14:textId="77777777" w:rsidR="0069135A" w:rsidRPr="00957F27" w:rsidRDefault="0069135A" w:rsidP="0069135A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1126" w:rsidRPr="001933FE">
        <w:t>Vývoj běžných příjmů a výdajů</w:t>
      </w:r>
      <w:bookmarkEnd w:id="104"/>
      <w:bookmarkEnd w:id="105"/>
      <w:bookmarkEnd w:id="106"/>
      <w:bookmarkEnd w:id="107"/>
      <w:bookmarkEnd w:id="108"/>
      <w:bookmarkEnd w:id="109"/>
    </w:p>
    <w:p w14:paraId="42795F0E" w14:textId="797E03F7" w:rsidR="00B01126" w:rsidRPr="001933FE" w:rsidRDefault="00B622B6" w:rsidP="008C3DB0">
      <w:pPr>
        <w:pStyle w:val="Objekt"/>
      </w:pPr>
      <w:r w:rsidRPr="001933FE">
        <w:rPr>
          <w:noProof/>
        </w:rPr>
        <w:drawing>
          <wp:inline distT="0" distB="0" distL="0" distR="0" wp14:anchorId="7CB1B0BE" wp14:editId="7F04AF0B">
            <wp:extent cx="4763633" cy="1972945"/>
            <wp:effectExtent l="0" t="0" r="0" b="0"/>
            <wp:docPr id="449554144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90" cy="197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82D0" w14:textId="29258BD8" w:rsidR="00B01126" w:rsidRPr="004D0FAA" w:rsidRDefault="00B01126" w:rsidP="004D0FAA">
      <w:pPr>
        <w:pStyle w:val="Nadpis3"/>
      </w:pPr>
      <w:r w:rsidRPr="004D0FAA">
        <w:t>Provozní přebytek</w:t>
      </w:r>
    </w:p>
    <w:p w14:paraId="7836598A" w14:textId="097C7A43" w:rsidR="00522319" w:rsidRDefault="00B01126" w:rsidP="00522319">
      <w:bookmarkStart w:id="110" w:name="_Toc365274610"/>
      <w:bookmarkStart w:id="111" w:name="_Toc368988395"/>
      <w:r w:rsidRPr="00D61273">
        <w:rPr>
          <w:b/>
        </w:rPr>
        <w:t>Provozní přebytek</w:t>
      </w:r>
      <w:r w:rsidRPr="00D61273">
        <w:t xml:space="preserve"> (rozdíl </w:t>
      </w:r>
      <w:r w:rsidRPr="001933FE">
        <w:t>mezi běžnými příjmy a běžnými výdaji)</w:t>
      </w:r>
      <w:r w:rsidR="004F584E" w:rsidRPr="001933FE">
        <w:t xml:space="preserve"> by měl optimálně nabývat</w:t>
      </w:r>
      <w:r w:rsidRPr="001933FE">
        <w:t xml:space="preserve"> </w:t>
      </w:r>
      <w:r w:rsidR="004F584E" w:rsidRPr="001933FE">
        <w:t>alespoň 25</w:t>
      </w:r>
      <w:r w:rsidR="00E41AA4" w:rsidRPr="001933FE">
        <w:t> </w:t>
      </w:r>
      <w:r w:rsidR="004F584E" w:rsidRPr="001933FE">
        <w:t>%</w:t>
      </w:r>
      <w:r w:rsidR="00E41AA4" w:rsidRPr="001933FE">
        <w:t> </w:t>
      </w:r>
      <w:r w:rsidR="004F584E" w:rsidRPr="001933FE">
        <w:t>běžných příjmů.</w:t>
      </w:r>
      <w:r w:rsidR="00122D55" w:rsidRPr="001933FE">
        <w:t xml:space="preserve"> </w:t>
      </w:r>
      <w:r w:rsidR="004F584E" w:rsidRPr="001933FE">
        <w:t xml:space="preserve">V </w:t>
      </w:r>
      <w:r w:rsidRPr="001933FE">
        <w:t xml:space="preserve">celém </w:t>
      </w:r>
      <w:r w:rsidR="00015CB0" w:rsidRPr="001933FE">
        <w:t>výhledovém obdob</w:t>
      </w:r>
      <w:r w:rsidRPr="001933FE">
        <w:t xml:space="preserve">í </w:t>
      </w:r>
      <w:r w:rsidR="004F584E" w:rsidRPr="001933FE">
        <w:t xml:space="preserve">je ukazatel </w:t>
      </w:r>
      <w:r w:rsidRPr="001933FE">
        <w:t xml:space="preserve">kladný, a to v rozmezí od </w:t>
      </w:r>
      <w:r w:rsidR="001E2303" w:rsidRPr="001933FE">
        <w:t>31,0</w:t>
      </w:r>
      <w:r w:rsidR="0091622F" w:rsidRPr="001933FE">
        <w:t xml:space="preserve"> </w:t>
      </w:r>
      <w:r w:rsidRPr="001933FE">
        <w:t>mil. Kč (</w:t>
      </w:r>
      <w:r w:rsidR="001E2303" w:rsidRPr="001933FE">
        <w:t>2026</w:t>
      </w:r>
      <w:r w:rsidRPr="001933FE">
        <w:t xml:space="preserve">) do </w:t>
      </w:r>
      <w:r w:rsidR="001E2303" w:rsidRPr="001933FE">
        <w:t>88,1</w:t>
      </w:r>
      <w:r w:rsidR="0091622F" w:rsidRPr="001933FE">
        <w:t xml:space="preserve"> </w:t>
      </w:r>
      <w:r w:rsidRPr="001933FE">
        <w:t>mil. Kč (</w:t>
      </w:r>
      <w:r w:rsidR="001E2303" w:rsidRPr="001933FE">
        <w:t>2030</w:t>
      </w:r>
      <w:r w:rsidRPr="001933FE">
        <w:t xml:space="preserve">). Po odečtení </w:t>
      </w:r>
      <w:r w:rsidRPr="001933FE">
        <w:rPr>
          <w:b/>
        </w:rPr>
        <w:t>splátek jistiny</w:t>
      </w:r>
      <w:r w:rsidRPr="001933FE">
        <w:t xml:space="preserve"> </w:t>
      </w:r>
      <w:r w:rsidR="00901D19" w:rsidRPr="001933FE">
        <w:t>v rozmezí</w:t>
      </w:r>
      <w:r w:rsidR="00901D19" w:rsidRPr="00D61273">
        <w:t xml:space="preserve"> od </w:t>
      </w:r>
      <w:r w:rsidR="001E2303">
        <w:t>29,9</w:t>
      </w:r>
      <w:r w:rsidR="0091622F">
        <w:t xml:space="preserve"> </w:t>
      </w:r>
      <w:r w:rsidR="00901D19" w:rsidRPr="00D61273">
        <w:t>mil. Kč (</w:t>
      </w:r>
      <w:r w:rsidR="001E2303">
        <w:t>2026</w:t>
      </w:r>
      <w:r w:rsidR="00901D19" w:rsidRPr="00D61273">
        <w:t xml:space="preserve">) do </w:t>
      </w:r>
      <w:r w:rsidR="001E2303">
        <w:t>87,3</w:t>
      </w:r>
      <w:r w:rsidR="0091622F">
        <w:t xml:space="preserve"> </w:t>
      </w:r>
      <w:r w:rsidR="00901D19" w:rsidRPr="00D61273">
        <w:t>mil. Kč (</w:t>
      </w:r>
      <w:r w:rsidR="001E2303">
        <w:t>2030</w:t>
      </w:r>
      <w:r w:rsidR="00901D19" w:rsidRPr="00D61273">
        <w:t>).</w:t>
      </w:r>
      <w:r w:rsidRPr="00D61273">
        <w:t xml:space="preserve"> </w:t>
      </w:r>
      <w:r w:rsidR="00005B42" w:rsidRPr="00D61273">
        <w:t>Částky představují využitelné finanční prostředky z provozního rozpočtu na investice a větší jmenovité akce charakteru oprav a údržby.</w:t>
      </w:r>
      <w:r w:rsidR="00005B42">
        <w:t xml:space="preserve"> </w:t>
      </w:r>
      <w:r w:rsidR="00522319" w:rsidRPr="00522319">
        <w:t xml:space="preserve">Od počátku sestaveného SVR (rok </w:t>
      </w:r>
      <w:r w:rsidR="001E2303">
        <w:t>2026</w:t>
      </w:r>
      <w:r w:rsidR="00522319" w:rsidRPr="00522319">
        <w:t xml:space="preserve">) do roku </w:t>
      </w:r>
      <w:r w:rsidR="001E2303">
        <w:t>2030</w:t>
      </w:r>
      <w:r w:rsidR="00522319" w:rsidRPr="00522319">
        <w:t xml:space="preserve"> vykazuje provozní přebyte</w:t>
      </w:r>
      <w:r w:rsidR="00522319" w:rsidRPr="00B23A25">
        <w:t xml:space="preserve">k </w:t>
      </w:r>
      <w:r w:rsidR="001E2303">
        <w:t>růst</w:t>
      </w:r>
      <w:r w:rsidR="00522319" w:rsidRPr="00522319">
        <w:t xml:space="preserve"> o </w:t>
      </w:r>
      <w:r w:rsidR="001E2303">
        <w:t>57,1</w:t>
      </w:r>
      <w:r w:rsidR="00522319" w:rsidRPr="00522319">
        <w:t xml:space="preserve"> mil. Kč.</w:t>
      </w:r>
    </w:p>
    <w:p w14:paraId="00A34227" w14:textId="2B62A8A9" w:rsidR="00B01126" w:rsidRPr="007F7EE4" w:rsidRDefault="00B01126" w:rsidP="007F7EE4">
      <w:pPr>
        <w:pStyle w:val="Graf0"/>
      </w:pPr>
      <w:bookmarkStart w:id="112" w:name="_Toc428351161"/>
      <w:bookmarkStart w:id="113" w:name="_Toc428357456"/>
      <w:bookmarkStart w:id="114" w:name="_Toc55981693"/>
      <w:bookmarkStart w:id="115" w:name="_Toc213758632"/>
      <w:r w:rsidRPr="007F7EE4">
        <w:lastRenderedPageBreak/>
        <w:t>Vývoj provozního přebytku</w:t>
      </w:r>
      <w:bookmarkEnd w:id="110"/>
      <w:bookmarkEnd w:id="111"/>
      <w:bookmarkEnd w:id="112"/>
      <w:bookmarkEnd w:id="113"/>
      <w:bookmarkEnd w:id="114"/>
      <w:bookmarkEnd w:id="115"/>
    </w:p>
    <w:p w14:paraId="122D941C" w14:textId="5852B1C9" w:rsidR="00B01126" w:rsidRPr="007631EA" w:rsidRDefault="00E673C7" w:rsidP="008C3DB0">
      <w:pPr>
        <w:pStyle w:val="Objek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44EE428" wp14:editId="5CDC9232">
                <wp:simplePos x="0" y="0"/>
                <wp:positionH relativeFrom="margin">
                  <wp:posOffset>4977765</wp:posOffset>
                </wp:positionH>
                <wp:positionV relativeFrom="paragraph">
                  <wp:posOffset>9525</wp:posOffset>
                </wp:positionV>
                <wp:extent cx="1479550" cy="850900"/>
                <wp:effectExtent l="0" t="0" r="6350" b="6350"/>
                <wp:wrapSquare wrapText="bothSides"/>
                <wp:docPr id="10842138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C72AE" w14:textId="405890DF" w:rsidR="00D54C17" w:rsidRPr="00957F27" w:rsidRDefault="00D54C17" w:rsidP="00957F27">
                            <w:pPr>
                              <w:pStyle w:val="Citt"/>
                            </w:pPr>
                            <w:r w:rsidRPr="00957F27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Provozní přebytek je po celé období SVR kladný</w:t>
                            </w:r>
                            <w:r w:rsidR="005224DF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a meziročně mírně roste</w:t>
                            </w:r>
                          </w:p>
                          <w:p w14:paraId="6BDB249E" w14:textId="77777777" w:rsidR="00D54C17" w:rsidRPr="00957F27" w:rsidRDefault="00D54C17" w:rsidP="00D54C17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EE428" id="_x0000_s1040" type="#_x0000_t202" style="position:absolute;margin-left:391.95pt;margin-top:.75pt;width:116.5pt;height:6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" stroked="f">
                <v:textbox>
                  <w:txbxContent>
                    <w:p w14:paraId="69CC72AE" w14:textId="405890DF" w:rsidR="00D54C17" w:rsidRPr="00957F27" w:rsidRDefault="00D54C17" w:rsidP="00957F27">
                      <w:pPr>
                        <w:pStyle w:val="Citt"/>
                      </w:pPr>
                      <w:r w:rsidRPr="00957F27">
                        <w:rPr>
                          <w:rStyle w:val="Odkaznakoment"/>
                          <w:sz w:val="22"/>
                          <w:szCs w:val="22"/>
                        </w:rPr>
                        <w:t>Provozní přebytek je po celé období SVR kladný</w:t>
                      </w:r>
                      <w:r w:rsidR="005224DF">
                        <w:rPr>
                          <w:rStyle w:val="Odkaznakoment"/>
                          <w:sz w:val="22"/>
                          <w:szCs w:val="22"/>
                        </w:rPr>
                        <w:t xml:space="preserve"> a meziročně mírně roste</w:t>
                      </w:r>
                    </w:p>
                    <w:p w14:paraId="6BDB249E" w14:textId="77777777" w:rsidR="00D54C17" w:rsidRPr="00957F27" w:rsidRDefault="00D54C17" w:rsidP="00D54C17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22B6" w:rsidRPr="00B622B6">
        <w:rPr>
          <w:noProof/>
        </w:rPr>
        <w:drawing>
          <wp:inline distT="0" distB="0" distL="0" distR="0" wp14:anchorId="7B04797A" wp14:editId="79746283">
            <wp:extent cx="4851400" cy="2104365"/>
            <wp:effectExtent l="0" t="0" r="6350" b="0"/>
            <wp:docPr id="213609159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077" cy="211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7A3A7" w14:textId="33287E5D" w:rsidR="00B01126" w:rsidRPr="004D0FAA" w:rsidRDefault="00CC7940" w:rsidP="004D0FAA">
      <w:pPr>
        <w:pStyle w:val="Nadpis3"/>
      </w:pPr>
      <w:r w:rsidRPr="004D0FAA">
        <w:t>Ukazatel</w:t>
      </w:r>
      <w:r w:rsidR="00B01126" w:rsidRPr="004D0FAA">
        <w:t xml:space="preserve"> provozních úspor</w:t>
      </w:r>
    </w:p>
    <w:p w14:paraId="496E2CD3" w14:textId="5394A178" w:rsidR="00B01126" w:rsidRDefault="00B01126" w:rsidP="00993408">
      <w:r w:rsidRPr="00901D19">
        <w:t xml:space="preserve">Ukazatel provozních úspor je definován jako podíl provozního přebytku a běžných </w:t>
      </w:r>
      <w:r w:rsidRPr="00922ADB">
        <w:t>příjmů</w:t>
      </w:r>
      <w:r w:rsidR="00922ADB" w:rsidRPr="00922ADB">
        <w:t xml:space="preserve"> a vyjadřuje, jaká část provozních prostředků může být využita na krytí investičních záměrů </w:t>
      </w:r>
      <w:r w:rsidR="00922ADB" w:rsidRPr="001933FE">
        <w:t>města.</w:t>
      </w:r>
      <w:r w:rsidRPr="001933FE">
        <w:t xml:space="preserve"> Ve výhledovém období oba zmíněné ukazatele každoročně rostou, přičemž </w:t>
      </w:r>
      <w:r w:rsidR="009C4B38" w:rsidRPr="001933FE">
        <w:t>provozní přebytek</w:t>
      </w:r>
      <w:r w:rsidR="00CC7940" w:rsidRPr="001933FE">
        <w:t xml:space="preserve"> rost</w:t>
      </w:r>
      <w:r w:rsidR="009C4B38" w:rsidRPr="001933FE">
        <w:t>e</w:t>
      </w:r>
      <w:r w:rsidR="00CC7940" w:rsidRPr="001933FE">
        <w:t xml:space="preserve"> </w:t>
      </w:r>
      <w:r w:rsidRPr="001933FE">
        <w:t xml:space="preserve">rychlejším tempem. </w:t>
      </w:r>
      <w:r w:rsidR="00CC7940" w:rsidRPr="001933FE">
        <w:t>Hodnota ukazatele</w:t>
      </w:r>
      <w:r w:rsidRPr="001933FE">
        <w:t xml:space="preserve"> </w:t>
      </w:r>
      <w:r w:rsidR="00B51330" w:rsidRPr="001933FE">
        <w:t xml:space="preserve">provozních úspor </w:t>
      </w:r>
      <w:r w:rsidRPr="001933FE">
        <w:t xml:space="preserve">upraveného rozpočtu na aktuální kalendářní rok dosahuje hodnoty </w:t>
      </w:r>
      <w:r w:rsidR="001E2303" w:rsidRPr="001933FE">
        <w:t>6,67</w:t>
      </w:r>
      <w:r w:rsidR="00A019C7" w:rsidRPr="001933FE">
        <w:t xml:space="preserve"> </w:t>
      </w:r>
      <w:r w:rsidRPr="001933FE">
        <w:t>% a vzhledem k výše zmíněnému dochází po skokovém nárůstu k postupnému</w:t>
      </w:r>
      <w:r w:rsidRPr="00901D19">
        <w:t xml:space="preserve"> mírnému zvyšování ukazatele až na hodnotu </w:t>
      </w:r>
      <w:r w:rsidR="001E2303">
        <w:t>26,13</w:t>
      </w:r>
      <w:r w:rsidR="00A43065">
        <w:t> </w:t>
      </w:r>
      <w:r w:rsidRPr="00901D19">
        <w:t>% v</w:t>
      </w:r>
      <w:r w:rsidR="004F3F67">
        <w:t> </w:t>
      </w:r>
      <w:r w:rsidRPr="00901D19">
        <w:t>roce</w:t>
      </w:r>
      <w:r w:rsidR="004F3F67">
        <w:t xml:space="preserve"> </w:t>
      </w:r>
      <w:r w:rsidR="001E2303">
        <w:t>2030</w:t>
      </w:r>
      <w:r w:rsidRPr="00901D19">
        <w:t xml:space="preserve">. </w:t>
      </w:r>
      <w:r w:rsidR="00522319" w:rsidRPr="00522319">
        <w:t xml:space="preserve">Uvedená hodnota představuje oproti roku </w:t>
      </w:r>
      <w:r w:rsidR="001E2303">
        <w:t>2026</w:t>
      </w:r>
      <w:r w:rsidR="00522319" w:rsidRPr="00522319">
        <w:t xml:space="preserve"> </w:t>
      </w:r>
      <w:r w:rsidR="001E2303">
        <w:t>růst</w:t>
      </w:r>
      <w:r w:rsidR="00522319" w:rsidRPr="00522319">
        <w:t xml:space="preserve"> o </w:t>
      </w:r>
      <w:proofErr w:type="gramStart"/>
      <w:r w:rsidR="001E2303">
        <w:t>15,24</w:t>
      </w:r>
      <w:r w:rsidR="0072325E">
        <w:t xml:space="preserve"> </w:t>
      </w:r>
      <w:r w:rsidR="00522319" w:rsidRPr="00522319">
        <w:t>procentního</w:t>
      </w:r>
      <w:proofErr w:type="gramEnd"/>
      <w:r w:rsidR="00522319" w:rsidRPr="00522319">
        <w:t xml:space="preserve"> bodu</w:t>
      </w:r>
      <w:r w:rsidR="00522319" w:rsidRPr="001933FE">
        <w:t xml:space="preserve">. </w:t>
      </w:r>
      <w:r w:rsidR="00846D3C" w:rsidRPr="001933FE">
        <w:t>Hodnota ukazatele se tak pohybuje nad minimální úrovní (10 %)</w:t>
      </w:r>
      <w:r w:rsidR="001933FE" w:rsidRPr="001933FE">
        <w:t xml:space="preserve"> a ke konci období se dostáv</w:t>
      </w:r>
      <w:r w:rsidR="00A43065">
        <w:t>á</w:t>
      </w:r>
      <w:r w:rsidR="001933FE" w:rsidRPr="001933FE">
        <w:t xml:space="preserve"> do optimálního intervalu</w:t>
      </w:r>
      <w:r w:rsidR="00846D3C" w:rsidRPr="001933FE">
        <w:t>.</w:t>
      </w:r>
    </w:p>
    <w:p w14:paraId="22BA7325" w14:textId="1E3490E9" w:rsidR="00B01126" w:rsidRPr="00EC4150" w:rsidRDefault="00412349" w:rsidP="007F7EE4">
      <w:pPr>
        <w:pStyle w:val="Graf0"/>
      </w:pPr>
      <w:bookmarkStart w:id="116" w:name="_Toc365274611"/>
      <w:bookmarkStart w:id="117" w:name="_Toc368988396"/>
      <w:bookmarkStart w:id="118" w:name="_Toc428351162"/>
      <w:bookmarkStart w:id="119" w:name="_Toc428357457"/>
      <w:bookmarkStart w:id="120" w:name="_Toc55981694"/>
      <w:bookmarkStart w:id="121" w:name="_Toc213758633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3F5FC95" wp14:editId="27A04F0D">
                <wp:simplePos x="0" y="0"/>
                <wp:positionH relativeFrom="margin">
                  <wp:posOffset>4971415</wp:posOffset>
                </wp:positionH>
                <wp:positionV relativeFrom="paragraph">
                  <wp:posOffset>5080</wp:posOffset>
                </wp:positionV>
                <wp:extent cx="1479550" cy="2133600"/>
                <wp:effectExtent l="0" t="0" r="6350" b="0"/>
                <wp:wrapSquare wrapText="bothSides"/>
                <wp:docPr id="2524890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70C18" w14:textId="647FCC2A" w:rsidR="00D54C17" w:rsidRDefault="00D54C17" w:rsidP="00957F27">
                            <w:pPr>
                              <w:pStyle w:val="Citt"/>
                              <w:rPr>
                                <w:rStyle w:val="Odkaznakoment"/>
                                <w:sz w:val="22"/>
                                <w:szCs w:val="19"/>
                              </w:rPr>
                            </w:pPr>
                            <w:r w:rsidRPr="00957F27">
                              <w:rPr>
                                <w:rStyle w:val="Odkaznakoment"/>
                                <w:sz w:val="22"/>
                                <w:szCs w:val="19"/>
                              </w:rPr>
                              <w:t xml:space="preserve">Hodnoty ukazatele provozních úspor v rozmezí </w:t>
                            </w:r>
                            <w:r w:rsidR="001E2303">
                              <w:t>10,88</w:t>
                            </w:r>
                            <w:r w:rsidRPr="00957F27">
                              <w:rPr>
                                <w:rStyle w:val="Odkaznakoment"/>
                                <w:sz w:val="22"/>
                                <w:szCs w:val="19"/>
                              </w:rPr>
                              <w:t xml:space="preserve"> % - </w:t>
                            </w:r>
                            <w:r w:rsidR="001E2303">
                              <w:t>26,13</w:t>
                            </w:r>
                            <w:r w:rsidRPr="00957F27">
                              <w:rPr>
                                <w:rStyle w:val="Odkaznakoment"/>
                                <w:sz w:val="22"/>
                                <w:szCs w:val="19"/>
                              </w:rPr>
                              <w:t xml:space="preserve"> %</w:t>
                            </w:r>
                          </w:p>
                          <w:p w14:paraId="370F151E" w14:textId="77777777" w:rsidR="00BE1056" w:rsidRDefault="00BE1056" w:rsidP="00BE1056"/>
                          <w:p w14:paraId="0926F8A2" w14:textId="5EB09B97" w:rsidR="00BE1056" w:rsidRPr="00BE1056" w:rsidRDefault="00BE1056" w:rsidP="00BE1056"/>
                          <w:p w14:paraId="00BC562B" w14:textId="4DA90D3B" w:rsidR="00D54C17" w:rsidRDefault="00D54C17" w:rsidP="00D54C17">
                            <w:pPr>
                              <w:spacing w:before="0" w:after="0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5FC95" id="_x0000_s1041" type="#_x0000_t202" style="position:absolute;left:0;text-align:left;margin-left:391.45pt;margin-top:.4pt;width:116.5pt;height:16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" stroked="f">
                <v:textbox>
                  <w:txbxContent>
                    <w:p w14:paraId="30170C18" w14:textId="647FCC2A" w:rsidR="00D54C17" w:rsidRDefault="00D54C17" w:rsidP="00957F27">
                      <w:pPr>
                        <w:pStyle w:val="Citt"/>
                        <w:rPr>
                          <w:rStyle w:val="Odkaznakoment"/>
                          <w:sz w:val="22"/>
                          <w:szCs w:val="19"/>
                        </w:rPr>
                      </w:pPr>
                      <w:r w:rsidRPr="00957F27">
                        <w:rPr>
                          <w:rStyle w:val="Odkaznakoment"/>
                          <w:sz w:val="22"/>
                          <w:szCs w:val="19"/>
                        </w:rPr>
                        <w:t xml:space="preserve">Hodnoty ukazatele provozních úspor v rozmezí </w:t>
                      </w:r>
                      <w:r w:rsidR="001E2303">
                        <w:t>10,88</w:t>
                      </w:r>
                      <w:r w:rsidRPr="00957F27">
                        <w:rPr>
                          <w:rStyle w:val="Odkaznakoment"/>
                          <w:sz w:val="22"/>
                          <w:szCs w:val="19"/>
                        </w:rPr>
                        <w:t xml:space="preserve"> % - </w:t>
                      </w:r>
                      <w:r w:rsidR="001E2303">
                        <w:t>26,13</w:t>
                      </w:r>
                      <w:r w:rsidRPr="00957F27">
                        <w:rPr>
                          <w:rStyle w:val="Odkaznakoment"/>
                          <w:sz w:val="22"/>
                          <w:szCs w:val="19"/>
                        </w:rPr>
                        <w:t xml:space="preserve"> %</w:t>
                      </w:r>
                    </w:p>
                    <w:p w14:paraId="370F151E" w14:textId="77777777" w:rsidR="00BE1056" w:rsidRDefault="00BE1056" w:rsidP="00BE1056"/>
                    <w:p w14:paraId="0926F8A2" w14:textId="5EB09B97" w:rsidR="00BE1056" w:rsidRPr="00BE1056" w:rsidRDefault="00BE1056" w:rsidP="00BE1056"/>
                    <w:p w14:paraId="00BC562B" w14:textId="4DA90D3B" w:rsidR="00D54C17" w:rsidRDefault="00D54C17" w:rsidP="00D54C17">
                      <w:pPr>
                        <w:spacing w:before="0" w:after="0"/>
                        <w:jc w:val="lef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1126" w:rsidRPr="007F7EE4">
        <w:t xml:space="preserve">Vývoj </w:t>
      </w:r>
      <w:r w:rsidR="00CC7940" w:rsidRPr="007F7EE4">
        <w:t>ukazatele</w:t>
      </w:r>
      <w:r w:rsidR="00B01126" w:rsidRPr="007F7EE4">
        <w:t xml:space="preserve"> provozních </w:t>
      </w:r>
      <w:r w:rsidR="00B01126" w:rsidRPr="00EC4150">
        <w:t>úspor</w:t>
      </w:r>
      <w:bookmarkEnd w:id="116"/>
      <w:bookmarkEnd w:id="117"/>
      <w:bookmarkEnd w:id="118"/>
      <w:bookmarkEnd w:id="119"/>
      <w:bookmarkEnd w:id="120"/>
      <w:bookmarkEnd w:id="121"/>
    </w:p>
    <w:p w14:paraId="65E019C5" w14:textId="73B134AE" w:rsidR="00B01126" w:rsidRPr="00EC4150" w:rsidRDefault="00B622B6" w:rsidP="005A4747">
      <w:pPr>
        <w:pStyle w:val="Objekt"/>
      </w:pPr>
      <w:r w:rsidRPr="00B622B6">
        <w:rPr>
          <w:noProof/>
        </w:rPr>
        <w:drawing>
          <wp:inline distT="0" distB="0" distL="0" distR="0" wp14:anchorId="18F5CEB9" wp14:editId="005AEE37">
            <wp:extent cx="4855625" cy="2011045"/>
            <wp:effectExtent l="0" t="0" r="0" b="0"/>
            <wp:docPr id="1492805272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18" cy="201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997C5" w14:textId="65438ABE" w:rsidR="00B01126" w:rsidRPr="009C4B38" w:rsidRDefault="00B01126" w:rsidP="00993408">
      <w:pPr>
        <w:pStyle w:val="Nadpis2"/>
      </w:pPr>
      <w:bookmarkStart w:id="122" w:name="_Toc62211724"/>
      <w:bookmarkStart w:id="123" w:name="_Toc213758995"/>
      <w:bookmarkStart w:id="124" w:name="_Toc365274612"/>
      <w:bookmarkStart w:id="125" w:name="_Toc368988393"/>
      <w:bookmarkStart w:id="126" w:name="_Toc428351159"/>
      <w:bookmarkStart w:id="127" w:name="_Toc428357454"/>
      <w:bookmarkStart w:id="128" w:name="_Toc55981691"/>
      <w:r w:rsidRPr="009C4B38">
        <w:t>Kapitálové hospodaření výhledového období</w:t>
      </w:r>
      <w:bookmarkEnd w:id="122"/>
      <w:bookmarkEnd w:id="123"/>
    </w:p>
    <w:p w14:paraId="5F504E69" w14:textId="6BFF5843" w:rsidR="0083383E" w:rsidRPr="00850989" w:rsidRDefault="0083383E" w:rsidP="008A1E30">
      <w:r w:rsidRPr="00015CB0">
        <w:t xml:space="preserve">V období střednědobého výhledu rozpočtu </w:t>
      </w:r>
      <w:proofErr w:type="gramStart"/>
      <w:r w:rsidR="001E2303">
        <w:t xml:space="preserve">2026 - </w:t>
      </w:r>
      <w:r w:rsidR="001E2303" w:rsidRPr="00850989">
        <w:t>2030</w:t>
      </w:r>
      <w:proofErr w:type="gramEnd"/>
      <w:r w:rsidRPr="00850989">
        <w:t xml:space="preserve"> se </w:t>
      </w:r>
      <w:r w:rsidR="00734D4B" w:rsidRPr="00850989">
        <w:t>ne</w:t>
      </w:r>
      <w:r w:rsidRPr="00850989">
        <w:t>počítá s prodejem pozemků a ostatního DHM</w:t>
      </w:r>
      <w:r w:rsidR="00015CB0" w:rsidRPr="00850989">
        <w:t>.</w:t>
      </w:r>
    </w:p>
    <w:p w14:paraId="213B9163" w14:textId="55F917DD" w:rsidR="003429F9" w:rsidRPr="00850989" w:rsidRDefault="00F63FBB" w:rsidP="003429F9">
      <w:r w:rsidRPr="00850989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27BB68F" wp14:editId="532EE549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1479550" cy="977900"/>
                <wp:effectExtent l="0" t="0" r="6350" b="0"/>
                <wp:wrapSquare wrapText="bothSides"/>
                <wp:docPr id="3041166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ADEC6" w14:textId="731B1A58" w:rsidR="00F63FBB" w:rsidRPr="00F63FBB" w:rsidRDefault="00F63FBB" w:rsidP="00F63FBB">
                            <w:pPr>
                              <w:pStyle w:val="Citt"/>
                              <w:rPr>
                                <w:szCs w:val="22"/>
                              </w:rPr>
                            </w:pPr>
                            <w:r w:rsidRPr="00F63FBB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SVR počítá s investicemi v celkové výši </w:t>
                            </w:r>
                            <w:r w:rsidR="001E2303" w:rsidRPr="001E2303">
                              <w:rPr>
                                <w:szCs w:val="22"/>
                              </w:rPr>
                              <w:t>112,7</w:t>
                            </w:r>
                            <w:r w:rsidRPr="00F63FBB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mil. Kč </w:t>
                            </w:r>
                          </w:p>
                          <w:p w14:paraId="1EE1C4BE" w14:textId="77777777" w:rsidR="00F63FBB" w:rsidRPr="00F63FBB" w:rsidRDefault="00F63FBB" w:rsidP="00F63FBB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BB68F" id="_x0000_s1042" type="#_x0000_t202" style="position:absolute;left:0;text-align:left;margin-left:65.3pt;margin-top:.25pt;width:116.5pt;height:77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" stroked="f">
                <v:textbox>
                  <w:txbxContent>
                    <w:p w14:paraId="314ADEC6" w14:textId="731B1A58" w:rsidR="00F63FBB" w:rsidRPr="00F63FBB" w:rsidRDefault="00F63FBB" w:rsidP="00F63FBB">
                      <w:pPr>
                        <w:pStyle w:val="Citt"/>
                        <w:rPr>
                          <w:szCs w:val="22"/>
                        </w:rPr>
                      </w:pPr>
                      <w:r w:rsidRPr="00F63FBB">
                        <w:rPr>
                          <w:rStyle w:val="Odkaznakoment"/>
                          <w:sz w:val="22"/>
                          <w:szCs w:val="22"/>
                        </w:rPr>
                        <w:t xml:space="preserve">SVR počítá s investicemi v celkové výši </w:t>
                      </w:r>
                      <w:r w:rsidR="001E2303" w:rsidRPr="001E2303">
                        <w:rPr>
                          <w:szCs w:val="22"/>
                        </w:rPr>
                        <w:t>112,7</w:t>
                      </w:r>
                      <w:r w:rsidRPr="00F63FBB">
                        <w:rPr>
                          <w:rStyle w:val="Odkaznakoment"/>
                          <w:sz w:val="22"/>
                          <w:szCs w:val="22"/>
                        </w:rPr>
                        <w:t xml:space="preserve"> mil. Kč </w:t>
                      </w:r>
                    </w:p>
                    <w:p w14:paraId="1EE1C4BE" w14:textId="77777777" w:rsidR="00F63FBB" w:rsidRPr="00F63FBB" w:rsidRDefault="00F63FBB" w:rsidP="00F63FBB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3065">
        <w:rPr>
          <w:noProof/>
        </w:rPr>
        <w:t>Kapitálové</w:t>
      </w:r>
      <w:r w:rsidR="001933FE" w:rsidRPr="00850989">
        <w:t xml:space="preserve"> výdaje </w:t>
      </w:r>
      <w:r w:rsidR="00850989" w:rsidRPr="00850989">
        <w:t xml:space="preserve">jsou </w:t>
      </w:r>
      <w:r w:rsidR="001933FE" w:rsidRPr="00850989">
        <w:t>zapracovány</w:t>
      </w:r>
      <w:r w:rsidR="000D3122" w:rsidRPr="00850989">
        <w:t xml:space="preserve"> pouze v</w:t>
      </w:r>
      <w:r w:rsidR="00850989" w:rsidRPr="00850989">
        <w:t> návrhu rozpočtu na rok</w:t>
      </w:r>
      <w:r w:rsidR="0002297F" w:rsidRPr="00850989">
        <w:t xml:space="preserve"> </w:t>
      </w:r>
      <w:r w:rsidR="001E2303" w:rsidRPr="00850989">
        <w:t>2026</w:t>
      </w:r>
      <w:r w:rsidR="001933FE" w:rsidRPr="00850989">
        <w:t>, a to</w:t>
      </w:r>
      <w:r w:rsidR="000D3122" w:rsidRPr="00850989">
        <w:t xml:space="preserve"> ve výši </w:t>
      </w:r>
      <w:r w:rsidR="001E2303" w:rsidRPr="00850989">
        <w:t>112,7</w:t>
      </w:r>
      <w:r w:rsidR="000D3122" w:rsidRPr="00850989">
        <w:t xml:space="preserve"> mil. Kč. </w:t>
      </w:r>
      <w:r w:rsidR="003429F9" w:rsidRPr="00850989">
        <w:t xml:space="preserve">Vzhledem ke známému charakteru investic jsou uvažovány i investiční transfery, a to </w:t>
      </w:r>
      <w:r w:rsidR="001933FE" w:rsidRPr="00850989">
        <w:t>ve výši</w:t>
      </w:r>
      <w:r w:rsidR="003429F9" w:rsidRPr="00850989">
        <w:t xml:space="preserve"> </w:t>
      </w:r>
      <w:r w:rsidR="001E2303" w:rsidRPr="00850989">
        <w:t>59,6</w:t>
      </w:r>
      <w:r w:rsidR="003429F9" w:rsidRPr="00850989">
        <w:t xml:space="preserve"> mil. Kč (</w:t>
      </w:r>
      <w:r w:rsidR="001E2303" w:rsidRPr="00850989">
        <w:t>2026</w:t>
      </w:r>
      <w:r w:rsidR="003429F9" w:rsidRPr="00850989">
        <w:t xml:space="preserve">). </w:t>
      </w:r>
      <w:r w:rsidR="00A43065">
        <w:t>Z důvodu</w:t>
      </w:r>
      <w:r w:rsidR="003429F9" w:rsidRPr="00850989">
        <w:t xml:space="preserve"> nejasnost</w:t>
      </w:r>
      <w:r w:rsidR="00A43065">
        <w:t>í</w:t>
      </w:r>
      <w:r w:rsidR="003429F9" w:rsidRPr="00850989">
        <w:t xml:space="preserve">, týkající se obecně výše spoluúčasti municipalit na investicích, vyplývající ze záměrů vlády, mohou se tyto hodnoty měnit a budou během roku upřesňovány. </w:t>
      </w:r>
    </w:p>
    <w:p w14:paraId="12E46A69" w14:textId="77777777" w:rsidR="00B01126" w:rsidRPr="00364D6D" w:rsidRDefault="00B01126" w:rsidP="00993408">
      <w:pPr>
        <w:pStyle w:val="Nadpis2"/>
      </w:pPr>
      <w:bookmarkStart w:id="129" w:name="_Toc62211725"/>
      <w:bookmarkStart w:id="130" w:name="_Toc213758996"/>
      <w:r w:rsidRPr="00364D6D">
        <w:t>Celkové hospodaření výhledového období</w:t>
      </w:r>
      <w:bookmarkEnd w:id="129"/>
      <w:bookmarkEnd w:id="130"/>
    </w:p>
    <w:p w14:paraId="5FD2EBD9" w14:textId="28DF9026" w:rsidR="001768B6" w:rsidRDefault="001768B6" w:rsidP="001768B6">
      <w:r w:rsidRPr="00364D6D">
        <w:t>Výsledek hospodaření zobrazuje celkové saldo rozpočtového hospodaření bez započítání položek financování (bez splátek jistin a případně přijatých úvěrů v jednotlivých letech). H</w:t>
      </w:r>
      <w:r w:rsidRPr="001933FE">
        <w:t>odnota údaje „Saldo bez financování“ vyjadřuje hodnotu finančních prostředků, které městu zůstávají na případnou úhradu svých závazků a investice. Od roku 202</w:t>
      </w:r>
      <w:r w:rsidR="001933FE" w:rsidRPr="001933FE">
        <w:t>7</w:t>
      </w:r>
      <w:r w:rsidRPr="001933FE">
        <w:t xml:space="preserve"> do konce období výhledu nabývá kladných hodnot a meziročně roste.</w:t>
      </w:r>
    </w:p>
    <w:p w14:paraId="39AEDC64" w14:textId="77777777" w:rsidR="00B01126" w:rsidRPr="004A7029" w:rsidRDefault="00B01126" w:rsidP="007F7EE4">
      <w:pPr>
        <w:pStyle w:val="Graf0"/>
      </w:pPr>
      <w:bookmarkStart w:id="131" w:name="_Toc213758634"/>
      <w:r w:rsidRPr="007F7EE4">
        <w:lastRenderedPageBreak/>
        <w:t xml:space="preserve">Vývoj salda </w:t>
      </w:r>
      <w:r w:rsidRPr="004A7029">
        <w:t>hospodaření</w:t>
      </w:r>
      <w:bookmarkEnd w:id="124"/>
      <w:bookmarkEnd w:id="125"/>
      <w:bookmarkEnd w:id="126"/>
      <w:bookmarkEnd w:id="127"/>
      <w:bookmarkEnd w:id="128"/>
      <w:bookmarkEnd w:id="131"/>
    </w:p>
    <w:p w14:paraId="0449CC23" w14:textId="6DC84A12" w:rsidR="00B01126" w:rsidRPr="004A7029" w:rsidRDefault="00B622B6" w:rsidP="005A4747">
      <w:pPr>
        <w:pStyle w:val="Objekt"/>
        <w:rPr>
          <w:noProof/>
        </w:rPr>
      </w:pPr>
      <w:r w:rsidRPr="00B622B6">
        <w:rPr>
          <w:noProof/>
        </w:rPr>
        <w:drawing>
          <wp:inline distT="0" distB="0" distL="0" distR="0" wp14:anchorId="0F036285" wp14:editId="20E6BC52">
            <wp:extent cx="6480810" cy="2684145"/>
            <wp:effectExtent l="0" t="0" r="0" b="0"/>
            <wp:docPr id="1926758654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90C18" w14:textId="77777777" w:rsidR="00B01126" w:rsidRPr="004D0FAA" w:rsidRDefault="00B01126" w:rsidP="004D0FAA">
      <w:pPr>
        <w:pStyle w:val="Nadpis3"/>
      </w:pPr>
      <w:r w:rsidRPr="004D0FAA">
        <w:t>Volné finanční prostředky</w:t>
      </w:r>
    </w:p>
    <w:p w14:paraId="4F664968" w14:textId="75E7A0B3" w:rsidR="00B01126" w:rsidRPr="00C71826" w:rsidRDefault="00B01126" w:rsidP="00993408">
      <w:bookmarkStart w:id="132" w:name="_Toc365274730"/>
      <w:bookmarkStart w:id="133" w:name="_Toc368988413"/>
      <w:r w:rsidRPr="00850989">
        <w:t>V</w:t>
      </w:r>
      <w:r w:rsidR="002640F1" w:rsidRPr="00850989">
        <w:t xml:space="preserve"> následující tabulce na </w:t>
      </w:r>
      <w:r w:rsidRPr="00850989">
        <w:t xml:space="preserve">řádku „Volné finanční prostředky“ jsou uvedeny hodnoty finančních prostředků, které městu zůstanou na financování investičních akcí po splnění svých závazků. </w:t>
      </w:r>
      <w:r w:rsidR="001778E4" w:rsidRPr="00850989">
        <w:t xml:space="preserve">Protože v návrhu rozpočtu na rok </w:t>
      </w:r>
      <w:r w:rsidR="001E2303" w:rsidRPr="00850989">
        <w:t>2026</w:t>
      </w:r>
      <w:r w:rsidR="001778E4" w:rsidRPr="00850989">
        <w:t xml:space="preserve"> jsou zahrnuty investiční akce ve výši přesahující bilanci hospodaření, hodnota tohoto řádku je nulová.</w:t>
      </w:r>
    </w:p>
    <w:p w14:paraId="221B04E2" w14:textId="77B05164" w:rsidR="00B01126" w:rsidRPr="007F7EE4" w:rsidRDefault="00B01126" w:rsidP="009A770A">
      <w:pPr>
        <w:pStyle w:val="Tabulka"/>
      </w:pPr>
      <w:bookmarkStart w:id="134" w:name="_Toc428350386"/>
      <w:bookmarkStart w:id="135" w:name="_Toc55981704"/>
      <w:bookmarkStart w:id="136" w:name="_Toc213758610"/>
      <w:r w:rsidRPr="007F7EE4">
        <w:t>Volné finanční prostředky</w:t>
      </w:r>
      <w:bookmarkEnd w:id="132"/>
      <w:bookmarkEnd w:id="133"/>
      <w:bookmarkEnd w:id="134"/>
      <w:bookmarkEnd w:id="135"/>
      <w:bookmarkEnd w:id="136"/>
    </w:p>
    <w:p w14:paraId="01970D60" w14:textId="3D9C3ABC" w:rsidR="00B01126" w:rsidRPr="00850989" w:rsidRDefault="00B622B6" w:rsidP="005A4747">
      <w:pPr>
        <w:pStyle w:val="Objekt"/>
        <w:rPr>
          <w:lang w:val="en-US"/>
        </w:rPr>
      </w:pPr>
      <w:r w:rsidRPr="00850989">
        <w:rPr>
          <w:noProof/>
          <w:lang w:val="en-US"/>
        </w:rPr>
        <w:drawing>
          <wp:inline distT="0" distB="0" distL="0" distR="0" wp14:anchorId="57F93BC8" wp14:editId="55D73F17">
            <wp:extent cx="5894070" cy="2154555"/>
            <wp:effectExtent l="0" t="0" r="0" b="0"/>
            <wp:docPr id="824845358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FF78" w14:textId="3B29F95A" w:rsidR="00EC4150" w:rsidRDefault="00EC4150" w:rsidP="00EC4150">
      <w:r w:rsidRPr="00850989">
        <w:t xml:space="preserve">V tabulce je vyjádřen odhad finančních toků v budoucnosti. Návrh </w:t>
      </w:r>
      <w:r w:rsidR="002A31C3" w:rsidRPr="00850989">
        <w:t>rozpočtu</w:t>
      </w:r>
      <w:r w:rsidRPr="00850989">
        <w:t xml:space="preserve"> na rok </w:t>
      </w:r>
      <w:r w:rsidR="001E2303" w:rsidRPr="00850989">
        <w:t>2026</w:t>
      </w:r>
      <w:r w:rsidRPr="00850989">
        <w:t xml:space="preserve"> obsahuje investice, jejichž výši naopak bude zřejmě zapotřebí spolufinancovat z části také přebytky hospodaření minulých let</w:t>
      </w:r>
      <w:r w:rsidR="00850989" w:rsidRPr="00850989">
        <w:t xml:space="preserve"> a přijatým překlenovacím revolvingovým úvěrem</w:t>
      </w:r>
      <w:r w:rsidRPr="00850989">
        <w:t xml:space="preserve">, případně dodatečnými příjmy investičními, které nejsou ve výhledu zohledněny. Teoretická výše finančních prostředků, které může město ze svých prostředků dodatečně použít na financování investičních aktivit a jednorázových akcí neinvestičního charakteru, se pohybuje v rozmezí od </w:t>
      </w:r>
      <w:r w:rsidR="00850989" w:rsidRPr="00850989">
        <w:t>70,2</w:t>
      </w:r>
      <w:r w:rsidRPr="00850989">
        <w:t xml:space="preserve"> mil. Kč (</w:t>
      </w:r>
      <w:r w:rsidR="001E2303" w:rsidRPr="00850989">
        <w:t>202</w:t>
      </w:r>
      <w:r w:rsidR="00850989" w:rsidRPr="00850989">
        <w:t>7</w:t>
      </w:r>
      <w:r w:rsidRPr="00850989">
        <w:t xml:space="preserve">) do </w:t>
      </w:r>
      <w:r w:rsidR="001E2303" w:rsidRPr="00850989">
        <w:t>87,3</w:t>
      </w:r>
      <w:r w:rsidRPr="00850989">
        <w:t xml:space="preserve"> mil. Kč (</w:t>
      </w:r>
      <w:r w:rsidR="001E2303" w:rsidRPr="00850989">
        <w:t>2030</w:t>
      </w:r>
      <w:r w:rsidRPr="00850989">
        <w:t>). Hodnoty volných finančních prostředků a zapracovaných investic jsou v</w:t>
      </w:r>
      <w:r w:rsidR="00850989" w:rsidRPr="00850989">
        <w:t> </w:t>
      </w:r>
      <w:r w:rsidRPr="00850989">
        <w:t>přibližně</w:t>
      </w:r>
      <w:r w:rsidR="00850989" w:rsidRPr="00850989">
        <w:t xml:space="preserve"> stejné</w:t>
      </w:r>
      <w:r w:rsidRPr="00850989">
        <w:t xml:space="preserve"> výši oproti hodnotám kapitálových výdajů v minulém období (bez uvažovaných investičních příjmů).</w:t>
      </w:r>
    </w:p>
    <w:p w14:paraId="3B78E2DB" w14:textId="72640224" w:rsidR="00EC4150" w:rsidRPr="007A6EF1" w:rsidRDefault="0069135A" w:rsidP="005A4747">
      <w:pPr>
        <w:pStyle w:val="Graf0"/>
      </w:pPr>
      <w:bookmarkStart w:id="137" w:name="_Toc213758635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C8DEC41" wp14:editId="2689A24B">
                <wp:simplePos x="0" y="0"/>
                <wp:positionH relativeFrom="margin">
                  <wp:posOffset>4981575</wp:posOffset>
                </wp:positionH>
                <wp:positionV relativeFrom="paragraph">
                  <wp:posOffset>32385</wp:posOffset>
                </wp:positionV>
                <wp:extent cx="1479550" cy="1243965"/>
                <wp:effectExtent l="0" t="0" r="6350" b="0"/>
                <wp:wrapSquare wrapText="bothSides"/>
                <wp:docPr id="72892868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F1337" w14:textId="77777777" w:rsidR="001F2E79" w:rsidRPr="00FF1837" w:rsidRDefault="001F2E79" w:rsidP="001F2E79">
                            <w:pPr>
                              <w:spacing w:before="0" w:after="0"/>
                              <w:jc w:val="left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Odkaznakoment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Hodnoty volných prostředků v SVR jsou srovnatelné s realizovanými investicemi v minulém období</w:t>
                            </w:r>
                          </w:p>
                          <w:p w14:paraId="29313AEB" w14:textId="77777777" w:rsidR="0069135A" w:rsidRPr="00957F27" w:rsidRDefault="0069135A" w:rsidP="0069135A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DEC41" id="_x0000_s1043" type="#_x0000_t202" style="position:absolute;left:0;text-align:left;margin-left:392.25pt;margin-top:2.55pt;width:116.5pt;height:97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" stroked="f">
                <v:textbox>
                  <w:txbxContent>
                    <w:p w14:paraId="457F1337" w14:textId="77777777" w:rsidR="001F2E79" w:rsidRPr="00FF1837" w:rsidRDefault="001F2E79" w:rsidP="001F2E79">
                      <w:pPr>
                        <w:spacing w:before="0" w:after="0"/>
                        <w:jc w:val="left"/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Style w:val="Odkaznakoment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Hodnoty volných prostředků v SVR jsou srovnatelné s realizovanými investicemi v minulém období</w:t>
                      </w:r>
                    </w:p>
                    <w:p w14:paraId="29313AEB" w14:textId="77777777" w:rsidR="0069135A" w:rsidRPr="00957F27" w:rsidRDefault="0069135A" w:rsidP="0069135A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4150" w:rsidRPr="007F7EE4">
        <w:t xml:space="preserve">Vývoj </w:t>
      </w:r>
      <w:r w:rsidR="00EC4150">
        <w:t>volných finančních prostředků</w:t>
      </w:r>
      <w:bookmarkEnd w:id="137"/>
    </w:p>
    <w:p w14:paraId="0357A57E" w14:textId="59A44C06" w:rsidR="00EC4150" w:rsidRPr="00EC4150" w:rsidRDefault="00D72DC5" w:rsidP="005A4747">
      <w:pPr>
        <w:pStyle w:val="Objekt"/>
        <w:rPr>
          <w:lang w:val="en-US"/>
        </w:rPr>
      </w:pPr>
      <w:r w:rsidRPr="00D72DC5">
        <w:rPr>
          <w:noProof/>
        </w:rPr>
        <w:drawing>
          <wp:inline distT="0" distB="0" distL="0" distR="0" wp14:anchorId="57767AEC" wp14:editId="2FCBB6FC">
            <wp:extent cx="4816800" cy="19944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00" cy="1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89815" w14:textId="718A9C06" w:rsidR="00B01126" w:rsidRDefault="00B01126" w:rsidP="00993408">
      <w:r w:rsidRPr="00AF06D1">
        <w:t>Kromě možnosti zapojit do rozpočtu pře</w:t>
      </w:r>
      <w:r w:rsidR="00A20E5A" w:rsidRPr="00AF06D1">
        <w:t>bytky hospodaření minulých let,</w:t>
      </w:r>
      <w:r w:rsidRPr="00AF06D1">
        <w:t xml:space="preserve"> hledání rezerv a efektivního hospodaření</w:t>
      </w:r>
      <w:r w:rsidR="00A20E5A" w:rsidRPr="00AF06D1">
        <w:t xml:space="preserve"> může město</w:t>
      </w:r>
      <w:r w:rsidRPr="00AF06D1">
        <w:t xml:space="preserve"> ovlivnit výši volných finančních prostředků prodejem majetku ve svém vlastnictví. O prodeji rozhoduje zastupitelstvo a výše bude odpovídat investičním potřebám. Možné je také využít cizích prostředků (např. úvěry, investiční dotace apod.). Získáme tak disponibilní prostředky pro rozvoj města.</w:t>
      </w:r>
    </w:p>
    <w:p w14:paraId="3F6F2316" w14:textId="3772ACDA" w:rsidR="00AC73DA" w:rsidRPr="00E34CC9" w:rsidRDefault="00D54C17" w:rsidP="009A770A">
      <w:pPr>
        <w:pStyle w:val="Tabulka"/>
      </w:pPr>
      <w:bookmarkStart w:id="138" w:name="_Toc213758611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1662F88" wp14:editId="7E603D5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479550" cy="1225550"/>
                <wp:effectExtent l="0" t="0" r="6350" b="0"/>
                <wp:wrapSquare wrapText="bothSides"/>
                <wp:docPr id="9560898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65172" w14:textId="2A8E038B" w:rsidR="00D54C17" w:rsidRPr="00957F27" w:rsidRDefault="00D54C17" w:rsidP="00957F27">
                            <w:pPr>
                              <w:pStyle w:val="Citt"/>
                              <w:rPr>
                                <w:rStyle w:val="Odkaznakoment"/>
                                <w:sz w:val="22"/>
                                <w:szCs w:val="22"/>
                              </w:rPr>
                            </w:pPr>
                            <w:r w:rsidRPr="00957F27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Na období SVR je predikován</w:t>
                            </w:r>
                            <w:r w:rsidR="00E34CC9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96366F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teoretická </w:t>
                            </w:r>
                            <w:r w:rsidR="00E34CC9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>výše volných finančních prostředků ve výši až</w:t>
                            </w:r>
                            <w:r w:rsidRPr="00957F27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2303" w:rsidRPr="001E2303">
                              <w:rPr>
                                <w:szCs w:val="22"/>
                              </w:rPr>
                              <w:t>745,3</w:t>
                            </w:r>
                            <w:r w:rsidRPr="00957F27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mil. Kč</w:t>
                            </w:r>
                          </w:p>
                          <w:p w14:paraId="45D0D8F5" w14:textId="77777777" w:rsidR="00D54C17" w:rsidRPr="00957F27" w:rsidRDefault="00D54C17" w:rsidP="00D54C17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62F88" id="_x0000_s1044" type="#_x0000_t202" style="position:absolute;left:0;text-align:left;margin-left:65.3pt;margin-top:0;width:116.5pt;height:96.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" stroked="f">
                <v:textbox>
                  <w:txbxContent>
                    <w:p w14:paraId="65065172" w14:textId="2A8E038B" w:rsidR="00D54C17" w:rsidRPr="00957F27" w:rsidRDefault="00D54C17" w:rsidP="00957F27">
                      <w:pPr>
                        <w:pStyle w:val="Citt"/>
                        <w:rPr>
                          <w:rStyle w:val="Odkaznakoment"/>
                          <w:sz w:val="22"/>
                          <w:szCs w:val="22"/>
                        </w:rPr>
                      </w:pPr>
                      <w:r w:rsidRPr="00957F27">
                        <w:rPr>
                          <w:rStyle w:val="Odkaznakoment"/>
                          <w:sz w:val="22"/>
                          <w:szCs w:val="22"/>
                        </w:rPr>
                        <w:t>Na období SVR je predikován</w:t>
                      </w:r>
                      <w:r w:rsidR="00E34CC9">
                        <w:rPr>
                          <w:rStyle w:val="Odkaznakoment"/>
                          <w:sz w:val="22"/>
                          <w:szCs w:val="22"/>
                        </w:rPr>
                        <w:t xml:space="preserve">a </w:t>
                      </w:r>
                      <w:r w:rsidR="0096366F">
                        <w:rPr>
                          <w:rStyle w:val="Odkaznakoment"/>
                          <w:sz w:val="22"/>
                          <w:szCs w:val="22"/>
                        </w:rPr>
                        <w:t xml:space="preserve">teoretická </w:t>
                      </w:r>
                      <w:r w:rsidR="00E34CC9">
                        <w:rPr>
                          <w:rStyle w:val="Odkaznakoment"/>
                          <w:sz w:val="22"/>
                          <w:szCs w:val="22"/>
                        </w:rPr>
                        <w:t>výše volných finančních prostředků ve výši až</w:t>
                      </w:r>
                      <w:r w:rsidRPr="00957F27">
                        <w:rPr>
                          <w:rStyle w:val="Odkaznakoment"/>
                          <w:sz w:val="22"/>
                          <w:szCs w:val="22"/>
                        </w:rPr>
                        <w:t xml:space="preserve"> </w:t>
                      </w:r>
                      <w:r w:rsidR="001E2303" w:rsidRPr="001E2303">
                        <w:rPr>
                          <w:szCs w:val="22"/>
                        </w:rPr>
                        <w:t>745,3</w:t>
                      </w:r>
                      <w:r w:rsidRPr="00957F27">
                        <w:rPr>
                          <w:rStyle w:val="Odkaznakoment"/>
                          <w:sz w:val="22"/>
                          <w:szCs w:val="22"/>
                        </w:rPr>
                        <w:t xml:space="preserve"> mil. Kč</w:t>
                      </w:r>
                    </w:p>
                    <w:p w14:paraId="45D0D8F5" w14:textId="77777777" w:rsidR="00D54C17" w:rsidRPr="00957F27" w:rsidRDefault="00D54C17" w:rsidP="00D54C17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73DA" w:rsidRPr="00AC73DA">
        <w:t xml:space="preserve">Disponibilní prostředky </w:t>
      </w:r>
      <w:r w:rsidR="00AC73DA" w:rsidRPr="00E34CC9">
        <w:t>výhledového období</w:t>
      </w:r>
      <w:bookmarkEnd w:id="138"/>
    </w:p>
    <w:p w14:paraId="25A1EB72" w14:textId="5F95CE02" w:rsidR="00AC73DA" w:rsidRPr="00E34CC9" w:rsidRDefault="00B622B6" w:rsidP="00AC73DA">
      <w:pPr>
        <w:pStyle w:val="Objekt"/>
        <w:rPr>
          <w:lang w:val="en-US"/>
        </w:rPr>
      </w:pPr>
      <w:r w:rsidRPr="00B622B6">
        <w:rPr>
          <w:noProof/>
          <w:lang w:val="en-US"/>
        </w:rPr>
        <w:drawing>
          <wp:inline distT="0" distB="0" distL="0" distR="0" wp14:anchorId="6D1C9DE2" wp14:editId="2CA56163">
            <wp:extent cx="3123565" cy="995680"/>
            <wp:effectExtent l="0" t="0" r="635" b="0"/>
            <wp:docPr id="186005819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22FD5" w14:textId="1E7E3624" w:rsidR="007A5F8C" w:rsidRPr="00522B81" w:rsidRDefault="00E34CC9" w:rsidP="00522B81">
      <w:pPr>
        <w:pStyle w:val="Poznmka"/>
      </w:pPr>
      <w:r w:rsidRPr="00E34CC9">
        <w:t xml:space="preserve">*) </w:t>
      </w:r>
      <w:r>
        <w:t>S</w:t>
      </w:r>
      <w:r w:rsidR="007A5F8C" w:rsidRPr="00E34CC9">
        <w:t>oučet Zůstatk</w:t>
      </w:r>
      <w:r>
        <w:t>ů</w:t>
      </w:r>
      <w:r w:rsidR="007A5F8C" w:rsidRPr="00E34CC9">
        <w:t xml:space="preserve"> na účtech (</w:t>
      </w:r>
      <w:r w:rsidR="001E2303">
        <w:t>2024</w:t>
      </w:r>
      <w:r w:rsidR="007A5F8C" w:rsidRPr="00E34CC9">
        <w:t>) a Změn</w:t>
      </w:r>
      <w:r>
        <w:t>y</w:t>
      </w:r>
      <w:r w:rsidR="007A5F8C" w:rsidRPr="00E34CC9">
        <w:t xml:space="preserve"> stavu peněžních zůstatků (</w:t>
      </w:r>
      <w:r w:rsidR="001E2303">
        <w:t>2025</w:t>
      </w:r>
      <w:r w:rsidR="007A5F8C" w:rsidRPr="00E34CC9">
        <w:t>)</w:t>
      </w:r>
    </w:p>
    <w:p w14:paraId="4D81D9CA" w14:textId="50AEB573" w:rsidR="007A5F8C" w:rsidRPr="005B3686" w:rsidRDefault="007A5F8C" w:rsidP="00522B81">
      <w:pPr>
        <w:pStyle w:val="Poznmka"/>
        <w:rPr>
          <w:i w:val="0"/>
        </w:rPr>
      </w:pPr>
      <w:bookmarkStart w:id="139" w:name="OLE_LINK1"/>
      <w:r w:rsidRPr="00522B81">
        <w:t>Poznámka: Bezpečná vý</w:t>
      </w:r>
      <w:r w:rsidR="003451AE">
        <w:t xml:space="preserve">še dluhu je obsahem </w:t>
      </w:r>
      <w:r w:rsidRPr="00522B81">
        <w:t>kapitoly</w:t>
      </w:r>
      <w:r w:rsidR="003451AE">
        <w:t xml:space="preserve"> Analýza zadluženosti</w:t>
      </w:r>
    </w:p>
    <w:bookmarkEnd w:id="139"/>
    <w:p w14:paraId="098D0B4E" w14:textId="6C691CB1" w:rsidR="007A5F8C" w:rsidRPr="006970E1" w:rsidRDefault="007A5F8C" w:rsidP="007A5F8C">
      <w:r w:rsidRPr="00B8791F">
        <w:t xml:space="preserve">Společnost AQE </w:t>
      </w:r>
      <w:proofErr w:type="spellStart"/>
      <w:r w:rsidRPr="00B8791F">
        <w:t>advisors</w:t>
      </w:r>
      <w:proofErr w:type="spellEnd"/>
      <w:r w:rsidRPr="00B8791F">
        <w:t xml:space="preserve">, a.s. stanovila pro období </w:t>
      </w:r>
      <w:proofErr w:type="gramStart"/>
      <w:r w:rsidR="001E2303">
        <w:t>2026 - 2030</w:t>
      </w:r>
      <w:proofErr w:type="gramEnd"/>
      <w:r w:rsidRPr="00B8791F">
        <w:t xml:space="preserve"> na základě </w:t>
      </w:r>
      <w:r w:rsidRPr="00850989">
        <w:t xml:space="preserve">sestaveného střednědobého výhledu objem teoretických disponibilních prostředků pro rozvoj města </w:t>
      </w:r>
      <w:r w:rsidR="00B8791F" w:rsidRPr="00850989">
        <w:t>formou</w:t>
      </w:r>
      <w:r w:rsidRPr="00850989">
        <w:t xml:space="preserve"> investičních a jednorázových akcí ve výši </w:t>
      </w:r>
      <w:r w:rsidR="001E2303" w:rsidRPr="00850989">
        <w:t>750,0</w:t>
      </w:r>
      <w:r w:rsidR="00B8791F" w:rsidRPr="00850989">
        <w:t xml:space="preserve"> </w:t>
      </w:r>
      <w:r w:rsidRPr="00850989">
        <w:t xml:space="preserve">mil. </w:t>
      </w:r>
      <w:r w:rsidR="002A31C3" w:rsidRPr="00850989">
        <w:t xml:space="preserve">Kč. </w:t>
      </w:r>
      <w:r w:rsidR="00A02833" w:rsidRPr="00850989">
        <w:t>Jedná se o částku využitelnou nad rámec zapracovaných investic.</w:t>
      </w:r>
      <w:r w:rsidR="00A02833">
        <w:t xml:space="preserve"> </w:t>
      </w:r>
    </w:p>
    <w:p w14:paraId="02F7588D" w14:textId="77777777" w:rsidR="00B01126" w:rsidRPr="00364D6D" w:rsidRDefault="00B01126" w:rsidP="00993408">
      <w:pPr>
        <w:pStyle w:val="Nadpis2"/>
      </w:pPr>
      <w:bookmarkStart w:id="140" w:name="_Toc62211726"/>
      <w:bookmarkStart w:id="141" w:name="_Toc213758997"/>
      <w:r w:rsidRPr="00364D6D">
        <w:t>Dluhová služba</w:t>
      </w:r>
      <w:bookmarkEnd w:id="140"/>
      <w:bookmarkEnd w:id="141"/>
    </w:p>
    <w:p w14:paraId="660CC8F3" w14:textId="77777777" w:rsidR="00B200B0" w:rsidRPr="003B5DF4" w:rsidRDefault="00B200B0" w:rsidP="00B200B0">
      <w:r w:rsidRPr="003B5DF4">
        <w:t xml:space="preserve">Dluhová služba poskytuje užitečný přehled o výpůjční aktivitě města a o jeho schopnosti splácet dluh. </w:t>
      </w:r>
    </w:p>
    <w:p w14:paraId="1386072C" w14:textId="082EFE19" w:rsidR="00B200B0" w:rsidRDefault="00B200B0" w:rsidP="00B200B0">
      <w:r w:rsidRPr="003B5DF4">
        <w:t xml:space="preserve">Celkem musí město v letech </w:t>
      </w:r>
      <w:proofErr w:type="gramStart"/>
      <w:r w:rsidR="001E2303">
        <w:t>2026 - 2030</w:t>
      </w:r>
      <w:proofErr w:type="gramEnd"/>
      <w:r w:rsidRPr="003B5DF4">
        <w:t xml:space="preserve"> splatit </w:t>
      </w:r>
      <w:r w:rsidR="001E2303">
        <w:t>5,4</w:t>
      </w:r>
      <w:r w:rsidRPr="003B5DF4">
        <w:t xml:space="preserve"> mil. Kč současných závazků včetně úroků (z toho </w:t>
      </w:r>
      <w:r w:rsidR="001E2303">
        <w:t>5,0</w:t>
      </w:r>
      <w:r w:rsidRPr="003B5DF4">
        <w:t xml:space="preserve"> mil. Kč na splátky jistin). </w:t>
      </w:r>
      <w:r w:rsidRPr="00850989">
        <w:t xml:space="preserve">Ve </w:t>
      </w:r>
      <w:r w:rsidR="00A55B0C" w:rsidRPr="00850989">
        <w:t>výhledovém</w:t>
      </w:r>
      <w:r w:rsidRPr="00850989">
        <w:t xml:space="preserve"> období se nepočítá s přijetím nového investičního úvěru.</w:t>
      </w:r>
    </w:p>
    <w:p w14:paraId="111B3CA8" w14:textId="73F57B2D" w:rsidR="00850989" w:rsidRPr="00850989" w:rsidRDefault="00850989" w:rsidP="00B200B0">
      <w:pPr>
        <w:rPr>
          <w:rFonts w:ascii="Calibri" w:hAnsi="Calibri"/>
          <w:sz w:val="20"/>
          <w:szCs w:val="20"/>
        </w:rPr>
      </w:pPr>
      <w:r>
        <w:t>V rozpočtu na rok 2025 je zapracován přijatý revolvingový úvěr v celkové výši 74,5 mil. Kč (hodnota účetnictví na konci září 34,0 mil. Kč), který bude po obdržení investičních transferů splacen.</w:t>
      </w:r>
      <w:r w:rsidR="00DB56AA">
        <w:t xml:space="preserve"> Jedná se tedy o překlenovací úvěr, obdobně jako v roce 2020. Oproti roku 2020 ovšem tento úvěr z roku 2025 není ve výhledu zohledněn, protože nejsou známé termíny obdržení dotací (nejsou součástí rozpočtu ani návrhu rozpočtu na rok 2026), tudíž by </w:t>
      </w:r>
      <w:r w:rsidR="001F4B61">
        <w:t>v</w:t>
      </w:r>
      <w:r w:rsidR="00DB56AA">
        <w:t xml:space="preserve">ýše dluhu zkreslovala </w:t>
      </w:r>
      <w:r w:rsidR="001F4B61">
        <w:t>celkovou výši dluhu</w:t>
      </w:r>
      <w:r w:rsidR="00DB56AA">
        <w:t xml:space="preserve"> města v celém sledovaném období.</w:t>
      </w:r>
    </w:p>
    <w:p w14:paraId="17CDD4E4" w14:textId="77777777" w:rsidR="007A5F8C" w:rsidRPr="00850989" w:rsidRDefault="008C3094" w:rsidP="009A770A">
      <w:pPr>
        <w:pStyle w:val="Tabulka"/>
      </w:pPr>
      <w:bookmarkStart w:id="142" w:name="_Toc213758612"/>
      <w:r w:rsidRPr="00850989">
        <w:t>Rozpis dluhové služby</w:t>
      </w:r>
      <w:bookmarkEnd w:id="142"/>
    </w:p>
    <w:p w14:paraId="4E6CE141" w14:textId="42B1D877" w:rsidR="00DC2176" w:rsidRPr="00850989" w:rsidRDefault="00B622B6" w:rsidP="00DC2176">
      <w:pPr>
        <w:pStyle w:val="Objekt"/>
      </w:pPr>
      <w:r w:rsidRPr="00850989">
        <w:rPr>
          <w:noProof/>
        </w:rPr>
        <w:drawing>
          <wp:inline distT="0" distB="0" distL="0" distR="0" wp14:anchorId="7AE60D2A" wp14:editId="5461B036">
            <wp:extent cx="6319520" cy="669925"/>
            <wp:effectExtent l="0" t="0" r="5080" b="0"/>
            <wp:docPr id="1270767623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A5DD2" w14:textId="5ADA0313" w:rsidR="00815323" w:rsidRPr="00364D6D" w:rsidRDefault="007A5F8C" w:rsidP="00F00A55">
      <w:r w:rsidRPr="0064404D">
        <w:t xml:space="preserve">Střednědobý výhled rozpočtu vychází od roku </w:t>
      </w:r>
      <w:r w:rsidR="001E2303">
        <w:t>2026</w:t>
      </w:r>
      <w:r w:rsidRPr="0064404D">
        <w:t xml:space="preserve"> z rostoucí dluhové základny (dluhová základna je ekvivalentem celkových příjmů). Dluhová služba meziročně klesá v celém výhledovém období</w:t>
      </w:r>
      <w:r w:rsidR="00815323" w:rsidRPr="0064404D">
        <w:t xml:space="preserve"> </w:t>
      </w:r>
      <w:r w:rsidR="00922ADB" w:rsidRPr="0064404D">
        <w:t xml:space="preserve">a je určena splátkami </w:t>
      </w:r>
      <w:r w:rsidR="00922ADB" w:rsidRPr="0064404D">
        <w:lastRenderedPageBreak/>
        <w:t xml:space="preserve">jistin a úrokovou zátěží </w:t>
      </w:r>
      <w:r w:rsidR="00922ADB" w:rsidRPr="00DB56AA">
        <w:t xml:space="preserve">nesplaceného dluhu. </w:t>
      </w:r>
      <w:r w:rsidR="00815323" w:rsidRPr="00DB56AA">
        <w:t xml:space="preserve">Z výše uvedeného vyplývá, že ukazatel dluhové služby se v letech </w:t>
      </w:r>
      <w:proofErr w:type="gramStart"/>
      <w:r w:rsidR="001E2303" w:rsidRPr="00DB56AA">
        <w:t>2026 - 2030</w:t>
      </w:r>
      <w:proofErr w:type="gramEnd"/>
      <w:r w:rsidR="00815323" w:rsidRPr="00DB56AA">
        <w:t xml:space="preserve"> meziročně snižuje z </w:t>
      </w:r>
      <w:r w:rsidR="001E2303" w:rsidRPr="00DB56AA">
        <w:t>1,47</w:t>
      </w:r>
      <w:r w:rsidR="00815323" w:rsidRPr="00DB56AA">
        <w:t xml:space="preserve"> % (</w:t>
      </w:r>
      <w:r w:rsidR="001E2303" w:rsidRPr="00DB56AA">
        <w:t>2026</w:t>
      </w:r>
      <w:r w:rsidR="00815323" w:rsidRPr="00DB56AA">
        <w:t xml:space="preserve">) na </w:t>
      </w:r>
      <w:r w:rsidR="001E2303" w:rsidRPr="00DB56AA">
        <w:t>0,27</w:t>
      </w:r>
      <w:r w:rsidR="00815323" w:rsidRPr="00DB56AA">
        <w:t xml:space="preserve"> % (</w:t>
      </w:r>
      <w:r w:rsidR="001E2303" w:rsidRPr="00DB56AA">
        <w:t>2030</w:t>
      </w:r>
      <w:r w:rsidR="00815323" w:rsidRPr="00DB56AA">
        <w:t>).</w:t>
      </w:r>
    </w:p>
    <w:p w14:paraId="22BE07A6" w14:textId="2887660B" w:rsidR="00B01126" w:rsidRPr="00DB56AA" w:rsidRDefault="00817AA0" w:rsidP="007F7EE4">
      <w:pPr>
        <w:pStyle w:val="Graf0"/>
      </w:pPr>
      <w:bookmarkStart w:id="143" w:name="_Toc365274609"/>
      <w:bookmarkStart w:id="144" w:name="_Toc368988397"/>
      <w:bookmarkStart w:id="145" w:name="_Toc428351163"/>
      <w:bookmarkStart w:id="146" w:name="_Toc428357458"/>
      <w:bookmarkStart w:id="147" w:name="_Toc58244032"/>
      <w:bookmarkStart w:id="148" w:name="_Toc213758636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9F0F248" wp14:editId="4F386585">
                <wp:simplePos x="0" y="0"/>
                <wp:positionH relativeFrom="margin">
                  <wp:posOffset>4988560</wp:posOffset>
                </wp:positionH>
                <wp:positionV relativeFrom="paragraph">
                  <wp:posOffset>129540</wp:posOffset>
                </wp:positionV>
                <wp:extent cx="1479550" cy="812800"/>
                <wp:effectExtent l="0" t="0" r="6350" b="6350"/>
                <wp:wrapSquare wrapText="bothSides"/>
                <wp:docPr id="14085743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7B8A4" w14:textId="1DDE84FA" w:rsidR="00D54C17" w:rsidRPr="00957F27" w:rsidRDefault="00D54C17" w:rsidP="00957F27">
                            <w:pPr>
                              <w:pStyle w:val="Citt"/>
                              <w:rPr>
                                <w:szCs w:val="22"/>
                              </w:rPr>
                            </w:pPr>
                            <w:r w:rsidRPr="00957F27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Příznivé hodnoty ukazatele dluhové služby – nejvýše </w:t>
                            </w:r>
                            <w:r w:rsidR="001E2303" w:rsidRPr="001E2303">
                              <w:rPr>
                                <w:szCs w:val="22"/>
                              </w:rPr>
                              <w:t>1,47</w:t>
                            </w:r>
                            <w:r w:rsidRPr="00957F27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%</w:t>
                            </w:r>
                          </w:p>
                          <w:p w14:paraId="25C3F2A5" w14:textId="77777777" w:rsidR="00D54C17" w:rsidRPr="00957F27" w:rsidRDefault="00D54C17" w:rsidP="00D54C17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0F248" id="_x0000_s1045" type="#_x0000_t202" style="position:absolute;left:0;text-align:left;margin-left:392.8pt;margin-top:10.2pt;width:116.5pt;height:6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" stroked="f">
                <v:textbox>
                  <w:txbxContent>
                    <w:p w14:paraId="4D57B8A4" w14:textId="1DDE84FA" w:rsidR="00D54C17" w:rsidRPr="00957F27" w:rsidRDefault="00D54C17" w:rsidP="00957F27">
                      <w:pPr>
                        <w:pStyle w:val="Citt"/>
                        <w:rPr>
                          <w:szCs w:val="22"/>
                        </w:rPr>
                      </w:pPr>
                      <w:r w:rsidRPr="00957F27">
                        <w:rPr>
                          <w:rStyle w:val="Odkaznakoment"/>
                          <w:sz w:val="22"/>
                          <w:szCs w:val="22"/>
                        </w:rPr>
                        <w:t xml:space="preserve">Příznivé hodnoty ukazatele dluhové služby – nejvýše </w:t>
                      </w:r>
                      <w:r w:rsidR="001E2303" w:rsidRPr="001E2303">
                        <w:rPr>
                          <w:szCs w:val="22"/>
                        </w:rPr>
                        <w:t>1,47</w:t>
                      </w:r>
                      <w:r w:rsidRPr="00957F27">
                        <w:rPr>
                          <w:rStyle w:val="Odkaznakoment"/>
                          <w:sz w:val="22"/>
                          <w:szCs w:val="22"/>
                        </w:rPr>
                        <w:t xml:space="preserve"> %</w:t>
                      </w:r>
                    </w:p>
                    <w:p w14:paraId="25C3F2A5" w14:textId="77777777" w:rsidR="00D54C17" w:rsidRPr="00957F27" w:rsidRDefault="00D54C17" w:rsidP="00D54C17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1126" w:rsidRPr="007F7EE4">
        <w:t xml:space="preserve">Vývoj dluhové </w:t>
      </w:r>
      <w:r w:rsidR="00B01126" w:rsidRPr="00DB56AA">
        <w:t>služby</w:t>
      </w:r>
      <w:bookmarkEnd w:id="143"/>
      <w:bookmarkEnd w:id="144"/>
      <w:bookmarkEnd w:id="145"/>
      <w:bookmarkEnd w:id="146"/>
      <w:bookmarkEnd w:id="147"/>
      <w:bookmarkEnd w:id="148"/>
    </w:p>
    <w:p w14:paraId="6F383448" w14:textId="116879C4" w:rsidR="00E02E36" w:rsidRPr="00DB56AA" w:rsidRDefault="00B622B6" w:rsidP="005A4747">
      <w:pPr>
        <w:pStyle w:val="Objekt"/>
        <w:rPr>
          <w:noProof/>
        </w:rPr>
      </w:pPr>
      <w:bookmarkStart w:id="149" w:name="_Toc523300323"/>
      <w:bookmarkStart w:id="150" w:name="_Toc58244013"/>
      <w:r w:rsidRPr="00DB56AA">
        <w:rPr>
          <w:noProof/>
        </w:rPr>
        <w:drawing>
          <wp:inline distT="0" distB="0" distL="0" distR="0" wp14:anchorId="40323D8C" wp14:editId="748E9027">
            <wp:extent cx="4798895" cy="1987550"/>
            <wp:effectExtent l="0" t="0" r="1905" b="0"/>
            <wp:docPr id="1935827394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65" cy="19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AAB36" w14:textId="77777777" w:rsidR="00F03800" w:rsidRDefault="006559F6" w:rsidP="003F4DD4">
      <w:pPr>
        <w:pStyle w:val="Nadpis2"/>
      </w:pPr>
      <w:bookmarkStart w:id="151" w:name="_Toc213758998"/>
      <w:r w:rsidRPr="00233938">
        <w:t>A</w:t>
      </w:r>
      <w:r w:rsidR="003F4DD4" w:rsidRPr="00233938">
        <w:t>nalýza zadlužení</w:t>
      </w:r>
      <w:bookmarkEnd w:id="151"/>
      <w:r w:rsidR="009935FB" w:rsidRPr="00233938">
        <w:t xml:space="preserve"> </w:t>
      </w:r>
    </w:p>
    <w:p w14:paraId="17C7169A" w14:textId="187C3CB3" w:rsidR="008B49E5" w:rsidRDefault="008B49E5" w:rsidP="008B49E5">
      <w:r>
        <w:t>Následující</w:t>
      </w:r>
      <w:r w:rsidRPr="004600C2">
        <w:t xml:space="preserve"> tabulka hodnotí zadlužení města z pohledu zákona č. 23/2017 Sb., o pravidlech rozpočtové odpovědnosti, posuzuje hodnotu fiskálního pravidla a při překročení 60% hranice určuje povinnou výši splátek.</w:t>
      </w:r>
    </w:p>
    <w:p w14:paraId="4BBADF92" w14:textId="0DE6BF27" w:rsidR="00B01126" w:rsidRPr="0033244D" w:rsidRDefault="00B01126" w:rsidP="009A770A">
      <w:pPr>
        <w:pStyle w:val="Tabulka"/>
      </w:pPr>
      <w:bookmarkStart w:id="152" w:name="_Toc213758613"/>
      <w:r w:rsidRPr="007F7EE4">
        <w:t xml:space="preserve">Predikce rozpočtové </w:t>
      </w:r>
      <w:r w:rsidRPr="0033244D">
        <w:t>odpovědnosti</w:t>
      </w:r>
      <w:bookmarkEnd w:id="149"/>
      <w:bookmarkEnd w:id="150"/>
      <w:bookmarkEnd w:id="152"/>
    </w:p>
    <w:p w14:paraId="5B1FC4C5" w14:textId="5CEBDE1E" w:rsidR="00E02E36" w:rsidRPr="0033244D" w:rsidRDefault="00B622B6" w:rsidP="005A4747">
      <w:pPr>
        <w:pStyle w:val="Objekt"/>
        <w:rPr>
          <w:noProof/>
        </w:rPr>
      </w:pPr>
      <w:r w:rsidRPr="00B622B6">
        <w:rPr>
          <w:noProof/>
        </w:rPr>
        <w:drawing>
          <wp:inline distT="0" distB="0" distL="0" distR="0" wp14:anchorId="0BE00F51" wp14:editId="0D965FF4">
            <wp:extent cx="5894070" cy="833120"/>
            <wp:effectExtent l="0" t="0" r="0" b="5080"/>
            <wp:docPr id="1380835400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44D" w:rsidRPr="0033244D">
        <w:rPr>
          <w:noProof/>
        </w:rPr>
        <w:t xml:space="preserve"> </w:t>
      </w:r>
    </w:p>
    <w:p w14:paraId="3BFD4EB3" w14:textId="77777777" w:rsidR="004F4D18" w:rsidRDefault="00B01126" w:rsidP="00E02E36">
      <w:r w:rsidRPr="00233938">
        <w:t xml:space="preserve">Výše celkového povoleného zadlužení je odvislá od výše celkových příjmů a teoretické navýšení dluhu pak navíc od výše dluhu současného. </w:t>
      </w:r>
    </w:p>
    <w:p w14:paraId="6CCCA682" w14:textId="4EF551E0" w:rsidR="00B01126" w:rsidRPr="00233938" w:rsidRDefault="00B200B0" w:rsidP="00E02E36">
      <w:r>
        <w:t xml:space="preserve">Město </w:t>
      </w:r>
      <w:r w:rsidR="001E2303">
        <w:t>Slavkov u Brna</w:t>
      </w:r>
      <w:r w:rsidR="00B01126" w:rsidRPr="00233938">
        <w:t xml:space="preserve"> může ve výhledovém období </w:t>
      </w:r>
      <w:r w:rsidR="004F4D18">
        <w:t xml:space="preserve">celkově </w:t>
      </w:r>
      <w:r w:rsidR="00B01126" w:rsidRPr="00233938">
        <w:t xml:space="preserve">zvýšit svoje dluhové zatížení o </w:t>
      </w:r>
      <w:r w:rsidR="001E2303">
        <w:t>195,3</w:t>
      </w:r>
      <w:r w:rsidR="00CB54E5">
        <w:t xml:space="preserve"> </w:t>
      </w:r>
      <w:r w:rsidR="00B01126" w:rsidRPr="00233938">
        <w:t>mil. Kč (</w:t>
      </w:r>
      <w:r w:rsidR="001E2303">
        <w:t>2030</w:t>
      </w:r>
      <w:r w:rsidR="00B01126" w:rsidRPr="00233938">
        <w:t xml:space="preserve">) </w:t>
      </w:r>
      <w:r w:rsidR="004F4D18">
        <w:t xml:space="preserve">nebo </w:t>
      </w:r>
      <w:r w:rsidR="00B01126" w:rsidRPr="00233938">
        <w:t xml:space="preserve">až </w:t>
      </w:r>
      <w:r w:rsidR="001E2303">
        <w:t>200,3</w:t>
      </w:r>
      <w:r w:rsidR="00B01126" w:rsidRPr="00233938">
        <w:t xml:space="preserve"> mil. Kč (</w:t>
      </w:r>
      <w:r w:rsidR="001E2303">
        <w:t>2028</w:t>
      </w:r>
      <w:r w:rsidR="00B01126" w:rsidRPr="00233938">
        <w:t xml:space="preserve">), aniž by </w:t>
      </w:r>
      <w:r w:rsidR="00A84EBA">
        <w:t>překročilo hodnoty</w:t>
      </w:r>
      <w:r w:rsidR="00B01126" w:rsidRPr="00233938">
        <w:t xml:space="preserve"> </w:t>
      </w:r>
      <w:r w:rsidR="00D803B0" w:rsidRPr="00233938">
        <w:t>pravidl</w:t>
      </w:r>
      <w:r w:rsidR="00A84EBA">
        <w:t>a</w:t>
      </w:r>
      <w:r w:rsidR="00D803B0" w:rsidRPr="00233938">
        <w:t xml:space="preserve"> </w:t>
      </w:r>
      <w:r w:rsidR="00B01126" w:rsidRPr="00233938">
        <w:t>rozpočtov</w:t>
      </w:r>
      <w:r w:rsidR="00D803B0" w:rsidRPr="00233938">
        <w:t>é</w:t>
      </w:r>
      <w:r w:rsidR="00B01126" w:rsidRPr="00233938">
        <w:t xml:space="preserve"> odpovědnost</w:t>
      </w:r>
      <w:r w:rsidR="00D803B0" w:rsidRPr="00233938">
        <w:t>i</w:t>
      </w:r>
      <w:r w:rsidR="00B01126" w:rsidRPr="00233938">
        <w:t>.</w:t>
      </w:r>
    </w:p>
    <w:p w14:paraId="021CCD7B" w14:textId="65EB0ED9" w:rsidR="00B01126" w:rsidRPr="00E34CC9" w:rsidRDefault="00B01126" w:rsidP="007F7EE4">
      <w:pPr>
        <w:pStyle w:val="Graf0"/>
      </w:pPr>
      <w:bookmarkStart w:id="153" w:name="_Toc523300314"/>
      <w:bookmarkStart w:id="154" w:name="_Toc58244033"/>
      <w:bookmarkStart w:id="155" w:name="_Toc213758637"/>
      <w:r w:rsidRPr="007F7EE4">
        <w:t xml:space="preserve">Vývoj </w:t>
      </w:r>
      <w:bookmarkEnd w:id="153"/>
      <w:r w:rsidRPr="007F7EE4">
        <w:t xml:space="preserve">teoretického </w:t>
      </w:r>
      <w:r w:rsidRPr="00E34CC9">
        <w:t>navýšení dluhu</w:t>
      </w:r>
      <w:bookmarkEnd w:id="154"/>
      <w:bookmarkEnd w:id="155"/>
    </w:p>
    <w:p w14:paraId="26038BBA" w14:textId="75753916" w:rsidR="00B01126" w:rsidRPr="00E34CC9" w:rsidRDefault="00B622B6" w:rsidP="005A4747">
      <w:pPr>
        <w:pStyle w:val="Objekt"/>
      </w:pPr>
      <w:r w:rsidRPr="00B622B6">
        <w:rPr>
          <w:noProof/>
        </w:rPr>
        <w:drawing>
          <wp:inline distT="0" distB="0" distL="0" distR="0" wp14:anchorId="50E3900E" wp14:editId="43998ACE">
            <wp:extent cx="6480810" cy="2684145"/>
            <wp:effectExtent l="0" t="0" r="0" b="0"/>
            <wp:docPr id="2037183995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42035" w14:textId="77777777" w:rsidR="00B01126" w:rsidRPr="00E34CC9" w:rsidRDefault="00930D02" w:rsidP="00993408">
      <w:pPr>
        <w:rPr>
          <w:szCs w:val="21"/>
        </w:rPr>
      </w:pPr>
      <w:r w:rsidRPr="00E34CC9">
        <w:rPr>
          <w:rStyle w:val="Bodytext2Bold"/>
          <w:b w:val="0"/>
          <w:bCs w:val="0"/>
          <w:sz w:val="21"/>
          <w:szCs w:val="21"/>
          <w:shd w:val="clear" w:color="auto" w:fill="auto"/>
        </w:rPr>
        <w:lastRenderedPageBreak/>
        <w:t>Střednědobý</w:t>
      </w:r>
      <w:r w:rsidR="00B01126" w:rsidRPr="00E34CC9">
        <w:rPr>
          <w:rStyle w:val="Bodytext2Bold"/>
          <w:b w:val="0"/>
          <w:bCs w:val="0"/>
          <w:sz w:val="21"/>
          <w:szCs w:val="21"/>
          <w:shd w:val="clear" w:color="auto" w:fill="auto"/>
        </w:rPr>
        <w:t xml:space="preserve"> výhled </w:t>
      </w:r>
      <w:r w:rsidRPr="00E34CC9">
        <w:rPr>
          <w:rStyle w:val="Bodytext2Bold"/>
          <w:b w:val="0"/>
          <w:bCs w:val="0"/>
          <w:sz w:val="21"/>
          <w:szCs w:val="21"/>
          <w:shd w:val="clear" w:color="auto" w:fill="auto"/>
        </w:rPr>
        <w:t xml:space="preserve">rozpočtu </w:t>
      </w:r>
      <w:r w:rsidR="00B01126" w:rsidRPr="00E34CC9">
        <w:rPr>
          <w:rStyle w:val="Bodytext2Bold"/>
          <w:b w:val="0"/>
          <w:bCs w:val="0"/>
          <w:sz w:val="21"/>
          <w:szCs w:val="21"/>
          <w:shd w:val="clear" w:color="auto" w:fill="auto"/>
        </w:rPr>
        <w:t xml:space="preserve">by měl být v podstatě strategickým plánem </w:t>
      </w:r>
      <w:r w:rsidRPr="00E34CC9">
        <w:rPr>
          <w:rStyle w:val="Bodytext2Bold"/>
          <w:b w:val="0"/>
          <w:bCs w:val="0"/>
          <w:sz w:val="21"/>
          <w:szCs w:val="21"/>
          <w:shd w:val="clear" w:color="auto" w:fill="auto"/>
        </w:rPr>
        <w:t>municipality</w:t>
      </w:r>
      <w:r w:rsidR="00B01126" w:rsidRPr="00E34CC9">
        <w:rPr>
          <w:rStyle w:val="Bodytext2Bold"/>
          <w:b w:val="0"/>
          <w:bCs w:val="0"/>
          <w:sz w:val="21"/>
          <w:szCs w:val="21"/>
          <w:shd w:val="clear" w:color="auto" w:fill="auto"/>
        </w:rPr>
        <w:t>, ve</w:t>
      </w:r>
      <w:r w:rsidR="00B01126" w:rsidRPr="00E34CC9">
        <w:rPr>
          <w:szCs w:val="21"/>
        </w:rPr>
        <w:t xml:space="preserve"> kterém jsou nastaveny </w:t>
      </w:r>
      <w:r w:rsidRPr="00E34CC9">
        <w:rPr>
          <w:szCs w:val="21"/>
        </w:rPr>
        <w:t>optimální</w:t>
      </w:r>
      <w:r w:rsidR="00B01126" w:rsidRPr="00E34CC9">
        <w:rPr>
          <w:szCs w:val="21"/>
        </w:rPr>
        <w:t xml:space="preserve"> hodnoty </w:t>
      </w:r>
      <w:r w:rsidR="00A20E5A" w:rsidRPr="00E34CC9">
        <w:rPr>
          <w:szCs w:val="21"/>
        </w:rPr>
        <w:t xml:space="preserve">jejího </w:t>
      </w:r>
      <w:r w:rsidR="00B01126" w:rsidRPr="00E34CC9">
        <w:rPr>
          <w:szCs w:val="21"/>
        </w:rPr>
        <w:t>hospodaření a důležit</w:t>
      </w:r>
      <w:r w:rsidRPr="00E34CC9">
        <w:rPr>
          <w:szCs w:val="21"/>
        </w:rPr>
        <w:t>é</w:t>
      </w:r>
      <w:r w:rsidR="00B01126" w:rsidRPr="00E34CC9">
        <w:rPr>
          <w:szCs w:val="21"/>
        </w:rPr>
        <w:t xml:space="preserve"> ukazatel</w:t>
      </w:r>
      <w:r w:rsidRPr="00E34CC9">
        <w:rPr>
          <w:szCs w:val="21"/>
        </w:rPr>
        <w:t>e,</w:t>
      </w:r>
      <w:r w:rsidR="00B01126" w:rsidRPr="00E34CC9">
        <w:rPr>
          <w:szCs w:val="21"/>
        </w:rPr>
        <w:t xml:space="preserve"> včetně a</w:t>
      </w:r>
      <w:r w:rsidR="00B01126" w:rsidRPr="00E34CC9">
        <w:rPr>
          <w:rStyle w:val="Bodytext2Bold"/>
          <w:b w:val="0"/>
          <w:bCs w:val="0"/>
          <w:sz w:val="21"/>
          <w:szCs w:val="21"/>
          <w:shd w:val="clear" w:color="auto" w:fill="auto"/>
        </w:rPr>
        <w:t xml:space="preserve">ktivního řízení zadluženosti </w:t>
      </w:r>
      <w:r w:rsidR="00B01126" w:rsidRPr="00E34CC9">
        <w:rPr>
          <w:szCs w:val="21"/>
        </w:rPr>
        <w:t>s cílem stanovit únosnou dluhovou službu, kterou bude v budoucnu schopna splácet.</w:t>
      </w:r>
    </w:p>
    <w:p w14:paraId="1C805571" w14:textId="7EC60ACD" w:rsidR="00105554" w:rsidRPr="007F7EE4" w:rsidRDefault="00105554" w:rsidP="00105554">
      <w:pPr>
        <w:pStyle w:val="Tabulka"/>
      </w:pPr>
      <w:bookmarkStart w:id="156" w:name="_Toc213758614"/>
      <w:r w:rsidRPr="007F7EE4">
        <w:t xml:space="preserve">Predikce </w:t>
      </w:r>
      <w:r>
        <w:t>ukazatelů zadluženosti</w:t>
      </w:r>
      <w:bookmarkEnd w:id="156"/>
    </w:p>
    <w:p w14:paraId="5DAED8B9" w14:textId="717C9AEF" w:rsidR="0012348C" w:rsidRDefault="00B622B6" w:rsidP="00AF39E1">
      <w:r w:rsidRPr="00B622B6">
        <w:rPr>
          <w:noProof/>
        </w:rPr>
        <w:drawing>
          <wp:inline distT="0" distB="0" distL="0" distR="0" wp14:anchorId="14527CD4" wp14:editId="601A7162">
            <wp:extent cx="5894070" cy="1330960"/>
            <wp:effectExtent l="0" t="0" r="0" b="2540"/>
            <wp:docPr id="643505214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554">
        <w:t xml:space="preserve"> </w:t>
      </w:r>
    </w:p>
    <w:p w14:paraId="0344E21E" w14:textId="52614F30" w:rsidR="00105554" w:rsidRDefault="00105554" w:rsidP="00105554">
      <w:r w:rsidRPr="00F2308A">
        <w:rPr>
          <w:szCs w:val="22"/>
        </w:rPr>
        <w:t xml:space="preserve">Velice rychlým a jednoduchým testem zadluženosti obce je </w:t>
      </w:r>
      <w:r w:rsidRPr="00F2308A">
        <w:rPr>
          <w:b/>
          <w:szCs w:val="22"/>
        </w:rPr>
        <w:t>ukazatel provozního krytí dluhu (platební schopnost I. řádu)</w:t>
      </w:r>
      <w:r w:rsidRPr="00F2308A">
        <w:rPr>
          <w:szCs w:val="22"/>
        </w:rPr>
        <w:t>, který říká</w:t>
      </w:r>
      <w:r>
        <w:rPr>
          <w:szCs w:val="22"/>
        </w:rPr>
        <w:t xml:space="preserve">, </w:t>
      </w:r>
      <w:r w:rsidRPr="00F2308A">
        <w:rPr>
          <w:szCs w:val="22"/>
        </w:rPr>
        <w:t xml:space="preserve">za kolik let je obec schopna splatit své </w:t>
      </w:r>
      <w:r w:rsidRPr="001F4B61">
        <w:rPr>
          <w:szCs w:val="22"/>
        </w:rPr>
        <w:t>dlouhodobé závazky z vlastních zdrojů. Pokud je výsledkem tohoto poměru maximální hodnota 6, jedná se o přiměřenou zadluženost.</w:t>
      </w:r>
      <w:r w:rsidR="00DB6D4B" w:rsidRPr="001F4B61">
        <w:rPr>
          <w:szCs w:val="22"/>
        </w:rPr>
        <w:t xml:space="preserve"> </w:t>
      </w:r>
      <w:r w:rsidRPr="001F4B61">
        <w:t xml:space="preserve">Při stávající výši dluhu </w:t>
      </w:r>
      <w:r w:rsidR="001E2303" w:rsidRPr="001F4B61">
        <w:t>5,0</w:t>
      </w:r>
      <w:r w:rsidRPr="001F4B61">
        <w:t xml:space="preserve"> mil. Kč na konci roku </w:t>
      </w:r>
      <w:r w:rsidR="001E2303" w:rsidRPr="001F4B61">
        <w:t>2025</w:t>
      </w:r>
      <w:r w:rsidRPr="001F4B61">
        <w:t xml:space="preserve"> nabývá ukazatel platební schopnosti I. řádu přízniv</w:t>
      </w:r>
      <w:r w:rsidR="00BF3A76">
        <w:t>ou</w:t>
      </w:r>
      <w:r w:rsidRPr="001F4B61">
        <w:t xml:space="preserve"> hodnot</w:t>
      </w:r>
      <w:r w:rsidR="00BF3A76">
        <w:t>u</w:t>
      </w:r>
      <w:r w:rsidRPr="001F4B61">
        <w:t xml:space="preserve"> </w:t>
      </w:r>
      <w:r w:rsidR="001E2303" w:rsidRPr="001F4B61">
        <w:t>0,27</w:t>
      </w:r>
      <w:r w:rsidRPr="001F4B61">
        <w:t xml:space="preserve">. Jeho výše ve výhledovém období dosáhne maximálně hodnoty </w:t>
      </w:r>
      <w:r w:rsidR="001E2303" w:rsidRPr="001F4B61">
        <w:t>0,13</w:t>
      </w:r>
      <w:r w:rsidRPr="001F4B61">
        <w:t xml:space="preserve"> (</w:t>
      </w:r>
      <w:r w:rsidR="001E2303" w:rsidRPr="001F4B61">
        <w:t>2026</w:t>
      </w:r>
      <w:r w:rsidRPr="001F4B61">
        <w:t>).</w:t>
      </w:r>
      <w:r w:rsidRPr="004E6919">
        <w:t xml:space="preserve"> </w:t>
      </w:r>
    </w:p>
    <w:p w14:paraId="33E453A0" w14:textId="652DC667" w:rsidR="004E6919" w:rsidRDefault="00B01126" w:rsidP="004E6919">
      <w:pPr>
        <w:rPr>
          <w:szCs w:val="22"/>
        </w:rPr>
      </w:pPr>
      <w:r w:rsidRPr="00B200B0">
        <w:rPr>
          <w:szCs w:val="22"/>
        </w:rPr>
        <w:t xml:space="preserve">Dobře vypovídajícím ukazatelem je takzvané </w:t>
      </w:r>
      <w:r w:rsidRPr="00B200B0">
        <w:rPr>
          <w:b/>
          <w:szCs w:val="22"/>
        </w:rPr>
        <w:t>krytí roční dluhové služby</w:t>
      </w:r>
      <w:r w:rsidR="00823476" w:rsidRPr="00B200B0">
        <w:rPr>
          <w:b/>
          <w:szCs w:val="22"/>
        </w:rPr>
        <w:t xml:space="preserve"> (platební schopnost II. řádu)</w:t>
      </w:r>
      <w:r w:rsidR="005A18E6">
        <w:rPr>
          <w:szCs w:val="22"/>
        </w:rPr>
        <w:t>,</w:t>
      </w:r>
      <w:r w:rsidRPr="00B200B0">
        <w:rPr>
          <w:szCs w:val="22"/>
        </w:rPr>
        <w:t xml:space="preserve"> </w:t>
      </w:r>
      <w:r w:rsidR="00E636CE">
        <w:rPr>
          <w:szCs w:val="22"/>
        </w:rPr>
        <w:t xml:space="preserve">jehož </w:t>
      </w:r>
      <w:r w:rsidR="005A18E6" w:rsidRPr="005A18E6">
        <w:rPr>
          <w:szCs w:val="22"/>
        </w:rPr>
        <w:t>vyjadřující poměr ročních splátek dluhu k provoznímu přebytku. Výsledné hodnoty ukazují schopnost uhradit roční splátky dluhu z provozního přebytku. Pod 20</w:t>
      </w:r>
      <w:r w:rsidR="00251FA4">
        <w:rPr>
          <w:szCs w:val="22"/>
        </w:rPr>
        <w:t xml:space="preserve"> </w:t>
      </w:r>
      <w:r w:rsidR="005A18E6" w:rsidRPr="005A18E6">
        <w:rPr>
          <w:szCs w:val="22"/>
        </w:rPr>
        <w:t>%</w:t>
      </w:r>
      <w:r w:rsidR="00DB6D4B">
        <w:rPr>
          <w:szCs w:val="22"/>
        </w:rPr>
        <w:t xml:space="preserve"> se</w:t>
      </w:r>
      <w:r w:rsidR="005A18E6" w:rsidRPr="005A18E6">
        <w:rPr>
          <w:szCs w:val="22"/>
        </w:rPr>
        <w:t xml:space="preserve"> jedná o optimální stav, do hranice 40</w:t>
      </w:r>
      <w:r w:rsidR="00251FA4">
        <w:rPr>
          <w:szCs w:val="22"/>
        </w:rPr>
        <w:t xml:space="preserve"> </w:t>
      </w:r>
      <w:r w:rsidR="005A18E6" w:rsidRPr="005A18E6">
        <w:rPr>
          <w:szCs w:val="22"/>
        </w:rPr>
        <w:t xml:space="preserve">% hodnoty provozního </w:t>
      </w:r>
      <w:r w:rsidR="005A18E6" w:rsidRPr="001F4B61">
        <w:rPr>
          <w:szCs w:val="22"/>
        </w:rPr>
        <w:t xml:space="preserve">přebytku je stav uspokojivý. Jinými slovy: po uhrazení ročních splátek dluhu zbude dostatek prostředků na krytí vlastních potřeb včetně nových investic, nebo budování finančních rezerv rozpočtu pro další </w:t>
      </w:r>
      <w:r w:rsidR="00251FA4" w:rsidRPr="001F4B61">
        <w:rPr>
          <w:szCs w:val="22"/>
        </w:rPr>
        <w:t>roky</w:t>
      </w:r>
      <w:r w:rsidR="005A18E6" w:rsidRPr="001F4B61">
        <w:rPr>
          <w:szCs w:val="22"/>
        </w:rPr>
        <w:t>.</w:t>
      </w:r>
      <w:r w:rsidR="00DB6D4B" w:rsidRPr="001F4B61">
        <w:rPr>
          <w:szCs w:val="22"/>
        </w:rPr>
        <w:t xml:space="preserve"> </w:t>
      </w:r>
      <w:r w:rsidR="00AF39E1" w:rsidRPr="001F4B61">
        <w:rPr>
          <w:szCs w:val="22"/>
        </w:rPr>
        <w:t xml:space="preserve">Pro danou výši roční dluhové služby ve výhledovém období </w:t>
      </w:r>
      <w:r w:rsidR="004E6919" w:rsidRPr="001F4B61">
        <w:rPr>
          <w:szCs w:val="22"/>
        </w:rPr>
        <w:t xml:space="preserve">nabývá ukazatel platební schopnosti </w:t>
      </w:r>
      <w:r w:rsidR="005969B3" w:rsidRPr="001F4B61">
        <w:rPr>
          <w:szCs w:val="22"/>
        </w:rPr>
        <w:t>I</w:t>
      </w:r>
      <w:r w:rsidR="004E6919" w:rsidRPr="001F4B61">
        <w:rPr>
          <w:szCs w:val="22"/>
        </w:rPr>
        <w:t xml:space="preserve">I. řádu pro </w:t>
      </w:r>
      <w:r w:rsidR="00AF42C4" w:rsidRPr="001F4B61">
        <w:rPr>
          <w:szCs w:val="22"/>
        </w:rPr>
        <w:t xml:space="preserve">město </w:t>
      </w:r>
      <w:r w:rsidR="001E2303" w:rsidRPr="001F4B61">
        <w:t>Slavkov u Brna</w:t>
      </w:r>
      <w:r w:rsidR="004E6919" w:rsidRPr="001F4B61">
        <w:rPr>
          <w:szCs w:val="22"/>
        </w:rPr>
        <w:t xml:space="preserve"> </w:t>
      </w:r>
      <w:r w:rsidR="00BF3A76">
        <w:rPr>
          <w:szCs w:val="22"/>
        </w:rPr>
        <w:t>výborných</w:t>
      </w:r>
      <w:r w:rsidR="004E6919" w:rsidRPr="001F4B61">
        <w:rPr>
          <w:szCs w:val="22"/>
        </w:rPr>
        <w:t xml:space="preserve"> hodnot</w:t>
      </w:r>
      <w:r w:rsidR="00AF39E1" w:rsidRPr="001F4B61">
        <w:rPr>
          <w:szCs w:val="22"/>
        </w:rPr>
        <w:t xml:space="preserve">, </w:t>
      </w:r>
      <w:r w:rsidR="002371A2" w:rsidRPr="001F4B61">
        <w:rPr>
          <w:szCs w:val="22"/>
        </w:rPr>
        <w:t xml:space="preserve">ve sledovaném období jeho výše </w:t>
      </w:r>
      <w:r w:rsidR="00891CEC" w:rsidRPr="001F4B61">
        <w:rPr>
          <w:szCs w:val="22"/>
        </w:rPr>
        <w:t xml:space="preserve">nabývá </w:t>
      </w:r>
      <w:r w:rsidR="00C326F4" w:rsidRPr="001F4B61">
        <w:rPr>
          <w:szCs w:val="22"/>
        </w:rPr>
        <w:t>maximální</w:t>
      </w:r>
      <w:r w:rsidR="002371A2" w:rsidRPr="001F4B61">
        <w:rPr>
          <w:szCs w:val="22"/>
        </w:rPr>
        <w:t xml:space="preserve"> </w:t>
      </w:r>
      <w:r w:rsidR="00891CEC" w:rsidRPr="001F4B61">
        <w:rPr>
          <w:szCs w:val="22"/>
        </w:rPr>
        <w:t xml:space="preserve">hodnoty </w:t>
      </w:r>
      <w:r w:rsidR="001E2303" w:rsidRPr="001F4B61">
        <w:t>3,44 %</w:t>
      </w:r>
      <w:r w:rsidR="00B04FC5" w:rsidRPr="001F4B61">
        <w:rPr>
          <w:szCs w:val="22"/>
        </w:rPr>
        <w:t xml:space="preserve"> (</w:t>
      </w:r>
      <w:r w:rsidR="001E2303" w:rsidRPr="001F4B61">
        <w:t>2026</w:t>
      </w:r>
      <w:r w:rsidR="00B04FC5" w:rsidRPr="001F4B61">
        <w:rPr>
          <w:szCs w:val="22"/>
        </w:rPr>
        <w:t>)</w:t>
      </w:r>
      <w:r w:rsidR="00891CEC" w:rsidRPr="001F4B61">
        <w:rPr>
          <w:szCs w:val="22"/>
        </w:rPr>
        <w:t>.</w:t>
      </w:r>
    </w:p>
    <w:p w14:paraId="3858CD77" w14:textId="27A8E8F7" w:rsidR="00F2308A" w:rsidRDefault="00823476" w:rsidP="00F2308A">
      <w:pPr>
        <w:rPr>
          <w:szCs w:val="22"/>
        </w:rPr>
      </w:pPr>
      <w:r w:rsidRPr="00F2308A">
        <w:rPr>
          <w:szCs w:val="22"/>
        </w:rPr>
        <w:t xml:space="preserve">Dalším ukazatelem, kterým lze hodnotit výši dluhů je tzv. ukazatel </w:t>
      </w:r>
      <w:r w:rsidRPr="00F2308A">
        <w:rPr>
          <w:b/>
          <w:szCs w:val="22"/>
        </w:rPr>
        <w:t>Finanční zadluženosti.</w:t>
      </w:r>
      <w:r w:rsidRPr="00F2308A">
        <w:rPr>
          <w:szCs w:val="22"/>
        </w:rPr>
        <w:t xml:space="preserve"> Ukazatel je konstruován jako poměr ročních splátek dluhu k běžným příjmům města a vyjadřuje podíl běžných příjmů, které je potřeba vyčlenit na roční splátku dluhu. Hodnoty ukazatele dosahující výše do 7</w:t>
      </w:r>
      <w:r w:rsidR="00B200B0">
        <w:rPr>
          <w:szCs w:val="22"/>
        </w:rPr>
        <w:t xml:space="preserve"> </w:t>
      </w:r>
      <w:r w:rsidRPr="00F2308A">
        <w:rPr>
          <w:szCs w:val="22"/>
        </w:rPr>
        <w:t xml:space="preserve">% svědčí o dobrém finančním zdraví municipality, hodnoty mezi </w:t>
      </w:r>
      <w:proofErr w:type="gramStart"/>
      <w:r w:rsidRPr="00F2308A">
        <w:rPr>
          <w:szCs w:val="22"/>
        </w:rPr>
        <w:t xml:space="preserve">7 </w:t>
      </w:r>
      <w:r w:rsidR="00B200B0">
        <w:rPr>
          <w:szCs w:val="22"/>
        </w:rPr>
        <w:t>–</w:t>
      </w:r>
      <w:r w:rsidRPr="00F2308A">
        <w:rPr>
          <w:szCs w:val="22"/>
        </w:rPr>
        <w:t xml:space="preserve"> 18</w:t>
      </w:r>
      <w:proofErr w:type="gramEnd"/>
      <w:r w:rsidR="00B200B0">
        <w:rPr>
          <w:szCs w:val="22"/>
        </w:rPr>
        <w:t xml:space="preserve"> </w:t>
      </w:r>
      <w:r w:rsidRPr="00F2308A">
        <w:rPr>
          <w:szCs w:val="22"/>
        </w:rPr>
        <w:t>% jsou uspokojivé, lze však konstatovat nárůst trendu zadlužování a zvýšení míry rizika. Hodnoty nad 18</w:t>
      </w:r>
      <w:r w:rsidR="00B200B0">
        <w:rPr>
          <w:szCs w:val="22"/>
        </w:rPr>
        <w:t xml:space="preserve"> </w:t>
      </w:r>
      <w:r w:rsidRPr="00F2308A">
        <w:rPr>
          <w:szCs w:val="22"/>
        </w:rPr>
        <w:t xml:space="preserve">% vyjadřují zvýšené riziko zadluženosti a ohrožují stabilitu </w:t>
      </w:r>
      <w:r w:rsidRPr="001F4B61">
        <w:rPr>
          <w:szCs w:val="22"/>
        </w:rPr>
        <w:t>finančního zdraví žadatele.</w:t>
      </w:r>
      <w:r w:rsidR="00DB6D4B" w:rsidRPr="001F4B61">
        <w:rPr>
          <w:szCs w:val="22"/>
        </w:rPr>
        <w:t xml:space="preserve"> </w:t>
      </w:r>
      <w:r w:rsidR="0035381A" w:rsidRPr="001F4B61">
        <w:rPr>
          <w:szCs w:val="22"/>
        </w:rPr>
        <w:t>Pro danou výši splátek dluhu nabývá ukazatel finanční zadluženosti pro</w:t>
      </w:r>
      <w:r w:rsidR="00F2308A" w:rsidRPr="001F4B61">
        <w:rPr>
          <w:szCs w:val="22"/>
        </w:rPr>
        <w:t xml:space="preserve"> </w:t>
      </w:r>
      <w:r w:rsidR="002371A2" w:rsidRPr="001F4B61">
        <w:rPr>
          <w:szCs w:val="22"/>
        </w:rPr>
        <w:t xml:space="preserve">město </w:t>
      </w:r>
      <w:r w:rsidR="001E2303" w:rsidRPr="001F4B61">
        <w:t>Slavkov u Brna</w:t>
      </w:r>
      <w:r w:rsidR="0035381A" w:rsidRPr="001F4B61">
        <w:rPr>
          <w:szCs w:val="22"/>
        </w:rPr>
        <w:t xml:space="preserve"> </w:t>
      </w:r>
      <w:r w:rsidR="00BF3A76">
        <w:rPr>
          <w:szCs w:val="22"/>
        </w:rPr>
        <w:t>optimálních</w:t>
      </w:r>
      <w:r w:rsidR="0035381A" w:rsidRPr="001F4B61">
        <w:rPr>
          <w:szCs w:val="22"/>
        </w:rPr>
        <w:t xml:space="preserve"> hodnot. Jeho výše ve výhle</w:t>
      </w:r>
      <w:r w:rsidR="004E6919" w:rsidRPr="001F4B61">
        <w:rPr>
          <w:szCs w:val="22"/>
        </w:rPr>
        <w:t>d</w:t>
      </w:r>
      <w:r w:rsidR="0035381A" w:rsidRPr="001F4B61">
        <w:rPr>
          <w:szCs w:val="22"/>
        </w:rPr>
        <w:t xml:space="preserve">ovém období nepřekročí hranici </w:t>
      </w:r>
      <w:r w:rsidR="001E2303" w:rsidRPr="001F4B61">
        <w:t>0,4 %</w:t>
      </w:r>
      <w:r w:rsidR="0035381A" w:rsidRPr="001F4B61">
        <w:rPr>
          <w:szCs w:val="22"/>
        </w:rPr>
        <w:t xml:space="preserve"> </w:t>
      </w:r>
      <w:r w:rsidR="00AB5156" w:rsidRPr="001F4B61">
        <w:rPr>
          <w:szCs w:val="22"/>
        </w:rPr>
        <w:t>(</w:t>
      </w:r>
      <w:r w:rsidR="001E2303" w:rsidRPr="001F4B61">
        <w:t>2026</w:t>
      </w:r>
      <w:r w:rsidR="00AB5156" w:rsidRPr="001F4B61">
        <w:rPr>
          <w:szCs w:val="22"/>
        </w:rPr>
        <w:t xml:space="preserve">) </w:t>
      </w:r>
      <w:r w:rsidR="0035381A" w:rsidRPr="001F4B61">
        <w:rPr>
          <w:szCs w:val="22"/>
        </w:rPr>
        <w:t>a meziročně klesá.</w:t>
      </w:r>
      <w:r w:rsidR="0035381A" w:rsidRPr="004E6919">
        <w:rPr>
          <w:szCs w:val="22"/>
        </w:rPr>
        <w:t xml:space="preserve"> </w:t>
      </w:r>
    </w:p>
    <w:p w14:paraId="23B3F49A" w14:textId="0C77CC85" w:rsidR="00410CC5" w:rsidRPr="007F7EE4" w:rsidRDefault="00410CC5" w:rsidP="00410CC5">
      <w:pPr>
        <w:pStyle w:val="Graf0"/>
      </w:pPr>
      <w:bookmarkStart w:id="157" w:name="_Toc213758638"/>
      <w:r w:rsidRPr="007F7EE4">
        <w:t xml:space="preserve">Vývoj </w:t>
      </w:r>
      <w:r>
        <w:t>ukazatelů zadluženosti</w:t>
      </w:r>
      <w:bookmarkEnd w:id="157"/>
    </w:p>
    <w:p w14:paraId="498CF6F2" w14:textId="4BF28FBB" w:rsidR="00410CC5" w:rsidRDefault="00B622B6" w:rsidP="00F2308A">
      <w:pPr>
        <w:rPr>
          <w:szCs w:val="22"/>
        </w:rPr>
      </w:pPr>
      <w:r w:rsidRPr="00B622B6">
        <w:rPr>
          <w:noProof/>
          <w:szCs w:val="22"/>
        </w:rPr>
        <w:drawing>
          <wp:inline distT="0" distB="0" distL="0" distR="0" wp14:anchorId="5C8C867C" wp14:editId="17F08B2B">
            <wp:extent cx="6480810" cy="1659255"/>
            <wp:effectExtent l="0" t="0" r="0" b="0"/>
            <wp:docPr id="1830945486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67CB0" w14:textId="77777777" w:rsidR="00B86A95" w:rsidRPr="0035381A" w:rsidRDefault="00B86A95" w:rsidP="00B86A95">
      <w:pPr>
        <w:rPr>
          <w:i/>
          <w:szCs w:val="22"/>
        </w:rPr>
      </w:pPr>
      <w:r w:rsidRPr="0035381A">
        <w:rPr>
          <w:szCs w:val="22"/>
        </w:rPr>
        <w:t xml:space="preserve">Za pomocí výše uvedeného jsme </w:t>
      </w:r>
      <w:r w:rsidR="0035381A" w:rsidRPr="0035381A">
        <w:rPr>
          <w:szCs w:val="22"/>
        </w:rPr>
        <w:t>s</w:t>
      </w:r>
      <w:r w:rsidR="00CA0DE4" w:rsidRPr="0035381A">
        <w:rPr>
          <w:szCs w:val="22"/>
        </w:rPr>
        <w:t xml:space="preserve">tanovili </w:t>
      </w:r>
      <w:r w:rsidRPr="0035381A">
        <w:rPr>
          <w:szCs w:val="22"/>
        </w:rPr>
        <w:t>bezpečnou výši zadlužení pro období střednědobého výhledu. Výpočet vychází z</w:t>
      </w:r>
      <w:r w:rsidR="00C02956">
        <w:rPr>
          <w:szCs w:val="22"/>
        </w:rPr>
        <w:t> </w:t>
      </w:r>
      <w:r w:rsidRPr="0035381A">
        <w:rPr>
          <w:szCs w:val="22"/>
        </w:rPr>
        <w:t>nastaven</w:t>
      </w:r>
      <w:r w:rsidR="00C02956">
        <w:rPr>
          <w:szCs w:val="22"/>
        </w:rPr>
        <w:t>ých hodnot</w:t>
      </w:r>
      <w:r w:rsidRPr="0035381A">
        <w:rPr>
          <w:szCs w:val="22"/>
        </w:rPr>
        <w:t xml:space="preserve"> ukazatelů, kde stěžejní roli hraj</w:t>
      </w:r>
      <w:r w:rsidR="00C33820" w:rsidRPr="0035381A">
        <w:rPr>
          <w:szCs w:val="22"/>
        </w:rPr>
        <w:t>e vývoj</w:t>
      </w:r>
      <w:r w:rsidRPr="0035381A">
        <w:rPr>
          <w:szCs w:val="22"/>
        </w:rPr>
        <w:t xml:space="preserve"> příjm</w:t>
      </w:r>
      <w:r w:rsidR="00C33820" w:rsidRPr="0035381A">
        <w:rPr>
          <w:szCs w:val="22"/>
        </w:rPr>
        <w:t>ů</w:t>
      </w:r>
      <w:r w:rsidRPr="0035381A">
        <w:rPr>
          <w:szCs w:val="22"/>
        </w:rPr>
        <w:t xml:space="preserve"> ze sdílených daní</w:t>
      </w:r>
      <w:r w:rsidR="00C33820" w:rsidRPr="0035381A">
        <w:rPr>
          <w:szCs w:val="22"/>
        </w:rPr>
        <w:t>, výše a predikce provozního přebytku samotných běžných příjmů</w:t>
      </w:r>
      <w:r w:rsidRPr="0035381A">
        <w:rPr>
          <w:szCs w:val="22"/>
        </w:rPr>
        <w:t xml:space="preserve"> na příjmové straně</w:t>
      </w:r>
      <w:r w:rsidR="00CA0DE4" w:rsidRPr="0035381A">
        <w:rPr>
          <w:szCs w:val="22"/>
        </w:rPr>
        <w:t>,</w:t>
      </w:r>
      <w:r w:rsidRPr="0035381A">
        <w:rPr>
          <w:szCs w:val="22"/>
        </w:rPr>
        <w:t xml:space="preserve"> výdaje na platy včetně pojistného</w:t>
      </w:r>
      <w:r w:rsidR="00C33820" w:rsidRPr="0035381A">
        <w:rPr>
          <w:szCs w:val="22"/>
        </w:rPr>
        <w:t xml:space="preserve"> </w:t>
      </w:r>
      <w:r w:rsidR="00164BA3" w:rsidRPr="0035381A">
        <w:rPr>
          <w:szCs w:val="22"/>
        </w:rPr>
        <w:t>a struktura</w:t>
      </w:r>
      <w:r w:rsidR="00C33820" w:rsidRPr="0035381A">
        <w:rPr>
          <w:szCs w:val="22"/>
        </w:rPr>
        <w:t xml:space="preserve"> výdajových položek</w:t>
      </w:r>
      <w:r w:rsidRPr="0035381A">
        <w:rPr>
          <w:szCs w:val="22"/>
        </w:rPr>
        <w:t xml:space="preserve"> na straně běžných výdajů.</w:t>
      </w:r>
      <w:r w:rsidR="00C33820" w:rsidRPr="0035381A">
        <w:rPr>
          <w:szCs w:val="22"/>
        </w:rPr>
        <w:t xml:space="preserve"> Ve splátkách dluhu hraje významnou roli provozní přebytek</w:t>
      </w:r>
      <w:r w:rsidR="00DD3034" w:rsidRPr="0035381A">
        <w:rPr>
          <w:szCs w:val="22"/>
        </w:rPr>
        <w:t>. K určení hranice pro bezpečnou výši zadlužení vycházíme z předpokladu, že doba k ce</w:t>
      </w:r>
      <w:r w:rsidR="00E534FE" w:rsidRPr="0035381A">
        <w:rPr>
          <w:szCs w:val="22"/>
        </w:rPr>
        <w:t xml:space="preserve">lkovému </w:t>
      </w:r>
      <w:r w:rsidR="00E534FE" w:rsidRPr="0035381A">
        <w:rPr>
          <w:szCs w:val="22"/>
        </w:rPr>
        <w:lastRenderedPageBreak/>
        <w:t>umoření dluhu nebude del</w:t>
      </w:r>
      <w:r w:rsidR="00DD3034" w:rsidRPr="0035381A">
        <w:rPr>
          <w:szCs w:val="22"/>
        </w:rPr>
        <w:t xml:space="preserve">ší než 10 let, optimálně by mělo stačit 6 let. </w:t>
      </w:r>
      <w:r w:rsidRPr="0035381A">
        <w:rPr>
          <w:szCs w:val="22"/>
        </w:rPr>
        <w:t>Hranice</w:t>
      </w:r>
      <w:r w:rsidR="00DD3034" w:rsidRPr="0035381A">
        <w:rPr>
          <w:szCs w:val="22"/>
        </w:rPr>
        <w:t xml:space="preserve"> </w:t>
      </w:r>
      <w:r w:rsidR="002D36F6">
        <w:rPr>
          <w:szCs w:val="22"/>
        </w:rPr>
        <w:t xml:space="preserve">pro </w:t>
      </w:r>
      <w:r w:rsidR="002D36F6" w:rsidRPr="008B0BED">
        <w:rPr>
          <w:szCs w:val="22"/>
        </w:rPr>
        <w:t>bezpečnou</w:t>
      </w:r>
      <w:r w:rsidRPr="008B0BED">
        <w:rPr>
          <w:szCs w:val="22"/>
        </w:rPr>
        <w:t xml:space="preserve"> výši</w:t>
      </w:r>
      <w:r w:rsidR="002D36F6" w:rsidRPr="008B0BED">
        <w:rPr>
          <w:szCs w:val="22"/>
        </w:rPr>
        <w:t>/bezpečné navýšení</w:t>
      </w:r>
      <w:r w:rsidRPr="0035381A">
        <w:rPr>
          <w:szCs w:val="22"/>
        </w:rPr>
        <w:t xml:space="preserve"> zadlužení </w:t>
      </w:r>
      <w:r w:rsidR="00DD3034" w:rsidRPr="0035381A">
        <w:rPr>
          <w:szCs w:val="22"/>
        </w:rPr>
        <w:t>j</w:t>
      </w:r>
      <w:r w:rsidRPr="0035381A">
        <w:rPr>
          <w:szCs w:val="22"/>
        </w:rPr>
        <w:t>e stanov</w:t>
      </w:r>
      <w:r w:rsidR="00DD3034" w:rsidRPr="0035381A">
        <w:rPr>
          <w:szCs w:val="22"/>
        </w:rPr>
        <w:t>ena</w:t>
      </w:r>
      <w:r w:rsidRPr="0035381A">
        <w:rPr>
          <w:szCs w:val="22"/>
        </w:rPr>
        <w:t xml:space="preserve"> na:</w:t>
      </w:r>
    </w:p>
    <w:p w14:paraId="056A1E85" w14:textId="53CA983A" w:rsidR="00B86A95" w:rsidRPr="00FB4E51" w:rsidRDefault="00D54C17" w:rsidP="00B86A95">
      <w:pPr>
        <w:pStyle w:val="altNadpis1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9578C5B" wp14:editId="16AD994B">
                <wp:simplePos x="0" y="0"/>
                <wp:positionH relativeFrom="margin">
                  <wp:align>right</wp:align>
                </wp:positionH>
                <wp:positionV relativeFrom="paragraph">
                  <wp:posOffset>310515</wp:posOffset>
                </wp:positionV>
                <wp:extent cx="1479550" cy="1790700"/>
                <wp:effectExtent l="0" t="0" r="6350" b="0"/>
                <wp:wrapSquare wrapText="bothSides"/>
                <wp:docPr id="63046117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10984" w14:textId="7E68BF61" w:rsidR="00D54C17" w:rsidRPr="001F4B61" w:rsidRDefault="00D54C17" w:rsidP="00957F27">
                            <w:pPr>
                              <w:pStyle w:val="Citt"/>
                              <w:rPr>
                                <w:color w:val="auto"/>
                                <w:szCs w:val="22"/>
                              </w:rPr>
                            </w:pPr>
                            <w:r w:rsidRPr="00957F27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Hranice bezpečné výše zadlužení je </w:t>
                            </w:r>
                            <w:r w:rsidR="001E2303" w:rsidRPr="001E2303">
                              <w:rPr>
                                <w:szCs w:val="22"/>
                              </w:rPr>
                              <w:t>vyšší</w:t>
                            </w:r>
                            <w:r w:rsidR="006B4792">
                              <w:rPr>
                                <w:szCs w:val="22"/>
                              </w:rPr>
                              <w:t>,</w:t>
                            </w:r>
                            <w:r w:rsidRPr="00957F27">
                              <w:rPr>
                                <w:rStyle w:val="Odkaznakomen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4B61">
                              <w:rPr>
                                <w:rStyle w:val="Odkaznakoment"/>
                                <w:color w:val="auto"/>
                                <w:sz w:val="22"/>
                                <w:szCs w:val="22"/>
                              </w:rPr>
                              <w:t>než určuje zákon o rozpočtové odpovědnosti</w:t>
                            </w:r>
                            <w:r w:rsidR="00817AA0" w:rsidRPr="001F4B61">
                              <w:rPr>
                                <w:rStyle w:val="Odkaznakoment"/>
                                <w:color w:val="auto"/>
                                <w:sz w:val="22"/>
                                <w:szCs w:val="22"/>
                              </w:rPr>
                              <w:t xml:space="preserve"> a umožňuje bezproblémové navýšení stávajícího dluhu</w:t>
                            </w:r>
                          </w:p>
                          <w:p w14:paraId="6F26FB9F" w14:textId="77777777" w:rsidR="00D54C17" w:rsidRPr="001F4B61" w:rsidRDefault="00D54C17" w:rsidP="00D54C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BC32E9C" w14:textId="77777777" w:rsidR="00D54C17" w:rsidRPr="00957F27" w:rsidRDefault="00D54C17" w:rsidP="00D54C17">
                            <w:pPr>
                              <w:spacing w:before="0" w:after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78C5B" id="_x0000_s1046" type="#_x0000_t202" style="position:absolute;left:0;text-align:left;margin-left:65.3pt;margin-top:24.45pt;width:116.5pt;height:141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" stroked="f">
                <v:textbox>
                  <w:txbxContent>
                    <w:p w14:paraId="78910984" w14:textId="7E68BF61" w:rsidR="00D54C17" w:rsidRPr="001F4B61" w:rsidRDefault="00D54C17" w:rsidP="00957F27">
                      <w:pPr>
                        <w:pStyle w:val="Citt"/>
                        <w:rPr>
                          <w:color w:val="auto"/>
                          <w:szCs w:val="22"/>
                        </w:rPr>
                      </w:pPr>
                      <w:r w:rsidRPr="00957F27">
                        <w:rPr>
                          <w:rStyle w:val="Odkaznakoment"/>
                          <w:sz w:val="22"/>
                          <w:szCs w:val="22"/>
                        </w:rPr>
                        <w:t xml:space="preserve">Hranice bezpečné výše zadlužení je </w:t>
                      </w:r>
                      <w:r w:rsidR="001E2303" w:rsidRPr="001E2303">
                        <w:rPr>
                          <w:szCs w:val="22"/>
                        </w:rPr>
                        <w:t>vyšší</w:t>
                      </w:r>
                      <w:r w:rsidR="006B4792">
                        <w:rPr>
                          <w:szCs w:val="22"/>
                        </w:rPr>
                        <w:t>,</w:t>
                      </w:r>
                      <w:r w:rsidRPr="00957F27">
                        <w:rPr>
                          <w:rStyle w:val="Odkaznakoment"/>
                          <w:sz w:val="22"/>
                          <w:szCs w:val="22"/>
                        </w:rPr>
                        <w:t xml:space="preserve"> </w:t>
                      </w:r>
                      <w:r w:rsidRPr="001F4B61">
                        <w:rPr>
                          <w:rStyle w:val="Odkaznakoment"/>
                          <w:color w:val="auto"/>
                          <w:sz w:val="22"/>
                          <w:szCs w:val="22"/>
                        </w:rPr>
                        <w:t>než určuje zákon o rozpočtové odpovědnosti</w:t>
                      </w:r>
                      <w:r w:rsidR="00817AA0" w:rsidRPr="001F4B61">
                        <w:rPr>
                          <w:rStyle w:val="Odkaznakoment"/>
                          <w:color w:val="auto"/>
                          <w:sz w:val="22"/>
                          <w:szCs w:val="22"/>
                        </w:rPr>
                        <w:t xml:space="preserve"> a umožňuje bezproblémové navýšení stávajícího dluhu</w:t>
                      </w:r>
                    </w:p>
                    <w:p w14:paraId="6F26FB9F" w14:textId="77777777" w:rsidR="00D54C17" w:rsidRPr="001F4B61" w:rsidRDefault="00D54C17" w:rsidP="00D54C17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BC32E9C" w14:textId="77777777" w:rsidR="00D54C17" w:rsidRPr="00957F27" w:rsidRDefault="00D54C17" w:rsidP="00D54C17">
                      <w:pPr>
                        <w:spacing w:before="0" w:after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2303">
        <w:t>399,0</w:t>
      </w:r>
      <w:r w:rsidR="00C02956">
        <w:t xml:space="preserve"> </w:t>
      </w:r>
      <w:r w:rsidR="00B86A95" w:rsidRPr="00FB4E51">
        <w:t>mil. Kč</w:t>
      </w:r>
      <w:r w:rsidR="006A74F8">
        <w:t xml:space="preserve"> /</w:t>
      </w:r>
      <w:r w:rsidR="000F5A9B">
        <w:t xml:space="preserve"> </w:t>
      </w:r>
      <w:r w:rsidR="001E2303">
        <w:t>394,0</w:t>
      </w:r>
      <w:r w:rsidR="00887D2D">
        <w:t xml:space="preserve"> </w:t>
      </w:r>
      <w:r w:rsidR="006A74F8" w:rsidRPr="00FB4E51">
        <w:t>mil. Kč</w:t>
      </w:r>
    </w:p>
    <w:p w14:paraId="532178BB" w14:textId="4659E786" w:rsidR="00B86A95" w:rsidRDefault="00DD3034" w:rsidP="00993408">
      <w:r w:rsidRPr="00FB4E51">
        <w:rPr>
          <w:szCs w:val="22"/>
        </w:rPr>
        <w:t xml:space="preserve">Při této výši zadlužení bude zajištěn bezproblémový </w:t>
      </w:r>
      <w:r w:rsidR="00F63AF6" w:rsidRPr="00FB4E51">
        <w:rPr>
          <w:szCs w:val="22"/>
        </w:rPr>
        <w:t xml:space="preserve">provoz a nebude ani omezen další rozvoj města. </w:t>
      </w:r>
      <w:r w:rsidR="00C07709" w:rsidRPr="00FB4E51">
        <w:rPr>
          <w:szCs w:val="22"/>
        </w:rPr>
        <w:t>Nelze ale zaměňovat výši dluhu neomezené</w:t>
      </w:r>
      <w:r w:rsidR="007D7574">
        <w:rPr>
          <w:szCs w:val="22"/>
        </w:rPr>
        <w:t>ho</w:t>
      </w:r>
      <w:r w:rsidR="00C07709" w:rsidRPr="00FB4E51">
        <w:rPr>
          <w:szCs w:val="22"/>
        </w:rPr>
        <w:t xml:space="preserve"> zákonem o rozpočtové odpovědnosti s povinností zajistit splátky z výše dluhu (požadavek zákona). Podle zákona o rozpočtové odpovědnosti je požadavek na zajištění meziročních splátek celkového dluhu </w:t>
      </w:r>
      <w:r w:rsidR="00C02956" w:rsidRPr="00C02956">
        <w:rPr>
          <w:szCs w:val="22"/>
        </w:rPr>
        <w:t>nad hodnoty v tabulce „Predikce rozpočtové odpovědnosti“</w:t>
      </w:r>
      <w:r w:rsidR="00C07709" w:rsidRPr="00FB4E51">
        <w:rPr>
          <w:szCs w:val="22"/>
        </w:rPr>
        <w:t xml:space="preserve"> ve výši 5</w:t>
      </w:r>
      <w:r w:rsidR="00DB59E7">
        <w:rPr>
          <w:szCs w:val="22"/>
        </w:rPr>
        <w:t xml:space="preserve"> </w:t>
      </w:r>
      <w:r w:rsidR="00C07709" w:rsidRPr="00FB4E51">
        <w:rPr>
          <w:szCs w:val="22"/>
        </w:rPr>
        <w:t xml:space="preserve">% </w:t>
      </w:r>
      <w:r w:rsidR="008E6FAF" w:rsidRPr="00FB4E51">
        <w:rPr>
          <w:szCs w:val="22"/>
        </w:rPr>
        <w:t xml:space="preserve">z rozdílu mezi </w:t>
      </w:r>
      <w:r w:rsidR="008E6FAF" w:rsidRPr="00FB4E51">
        <w:t>výší dluhu a 60 % jeho průměrných příjmů za poslední 4 roky</w:t>
      </w:r>
      <w:r w:rsidR="005A5E75" w:rsidRPr="00FB4E51">
        <w:t>.</w:t>
      </w:r>
      <w:r w:rsidR="00DB7CA6" w:rsidRPr="00FB4E51">
        <w:t xml:space="preserve"> </w:t>
      </w:r>
      <w:r w:rsidR="006E7538" w:rsidRPr="00FB4E51">
        <w:t>H</w:t>
      </w:r>
      <w:r w:rsidR="005A5E75" w:rsidRPr="00FB4E51">
        <w:t xml:space="preserve">ranice bezpečného zadlužení </w:t>
      </w:r>
      <w:r w:rsidR="006E7538" w:rsidRPr="00FB4E51">
        <w:t xml:space="preserve">je o </w:t>
      </w:r>
      <w:r w:rsidR="00CD1239">
        <w:t xml:space="preserve">cca </w:t>
      </w:r>
      <w:r w:rsidR="001E2303">
        <w:t>205,8</w:t>
      </w:r>
      <w:r w:rsidR="006E7538" w:rsidRPr="00FB4E51">
        <w:t xml:space="preserve"> mil. Kč </w:t>
      </w:r>
      <w:r w:rsidR="001E2303">
        <w:t>vyšší</w:t>
      </w:r>
      <w:r w:rsidR="006E7538" w:rsidRPr="00FB4E51">
        <w:t xml:space="preserve"> než hodnota vypočítaná dle zákona o rozpočtové odpovědnosti</w:t>
      </w:r>
      <w:r w:rsidR="000A374A">
        <w:t xml:space="preserve"> na aktuální rok</w:t>
      </w:r>
      <w:r w:rsidR="006E7538" w:rsidRPr="00FB4E51">
        <w:t xml:space="preserve">. Tato skutečnost vyplývá z algoritmu výpočtu. Zatím co zákon vychází z hodnot celkových příjmů za minulé 4 roky, výpočet hranice bezpečné výše zadlužení využívá hodnoty budoucích let </w:t>
      </w:r>
      <w:r w:rsidR="000D195F" w:rsidRPr="00FB4E51">
        <w:t>SVR</w:t>
      </w:r>
      <w:r w:rsidR="002B549D">
        <w:t>.</w:t>
      </w:r>
    </w:p>
    <w:p w14:paraId="0E94E63E" w14:textId="77777777" w:rsidR="00B01126" w:rsidRPr="001F6AC2" w:rsidRDefault="00B01126" w:rsidP="00993408">
      <w:pPr>
        <w:pStyle w:val="Nadpis1"/>
      </w:pPr>
      <w:bookmarkStart w:id="158" w:name="_Toc62211729"/>
      <w:bookmarkStart w:id="159" w:name="_Toc213758999"/>
      <w:r w:rsidRPr="001F6AC2">
        <w:lastRenderedPageBreak/>
        <w:t>Ekonomické hodnocení</w:t>
      </w:r>
      <w:bookmarkEnd w:id="158"/>
      <w:bookmarkEnd w:id="159"/>
    </w:p>
    <w:p w14:paraId="015181D0" w14:textId="77777777" w:rsidR="00B01126" w:rsidRPr="001F6AC2" w:rsidRDefault="00B01126" w:rsidP="00993408">
      <w:r w:rsidRPr="001F6AC2">
        <w:t xml:space="preserve">Územní samosprávný celek by měl při tvorbě koncepčních materiálů a dlouhodobějších plánů, ale i při hledání všech finančních zdrojů, vycházet z odborného posouzení schopností vlastní ekonomiky. Ekonomická analýza by se měla opírat o komplexní hodnocení řady kritérií, které přináší například </w:t>
      </w:r>
      <w:r w:rsidR="00742F18" w:rsidRPr="001F6AC2">
        <w:t>ekonomické hodnocení</w:t>
      </w:r>
      <w:r w:rsidRPr="001F6AC2">
        <w:t xml:space="preserve"> územního samosprávného celku. </w:t>
      </w:r>
      <w:r w:rsidR="00742F18" w:rsidRPr="001F6AC2">
        <w:t>Ekonomické hodnocení</w:t>
      </w:r>
      <w:r w:rsidRPr="001F6AC2">
        <w:t xml:space="preserve"> společnosti AQE, </w:t>
      </w:r>
      <w:proofErr w:type="spellStart"/>
      <w:r w:rsidRPr="001F6AC2">
        <w:t>advisors</w:t>
      </w:r>
      <w:proofErr w:type="spellEnd"/>
      <w:r w:rsidRPr="001F6AC2">
        <w:t>, a.s. je sestaven</w:t>
      </w:r>
      <w:r w:rsidR="001A3B44" w:rsidRPr="001F6AC2">
        <w:t>o</w:t>
      </w:r>
      <w:r w:rsidRPr="001F6AC2">
        <w:t xml:space="preserve"> na základě 20 vybraných ukazatelů rozdělených do 5 dílčích oblastí hospodaření.</w:t>
      </w:r>
    </w:p>
    <w:p w14:paraId="2EEDBF43" w14:textId="77777777" w:rsidR="008F135F" w:rsidRPr="001F6AC2" w:rsidRDefault="008F135F">
      <w:pPr>
        <w:pStyle w:val="Kaskda0"/>
        <w:numPr>
          <w:ilvl w:val="0"/>
          <w:numId w:val="21"/>
        </w:numPr>
      </w:pPr>
      <w:r w:rsidRPr="001F6AC2">
        <w:t>Příjmy – zhodnocení příjmových kategorií</w:t>
      </w:r>
    </w:p>
    <w:p w14:paraId="71CF37BE" w14:textId="77777777" w:rsidR="008F135F" w:rsidRPr="001F6AC2" w:rsidRDefault="008F135F">
      <w:pPr>
        <w:pStyle w:val="Kaskda0"/>
        <w:numPr>
          <w:ilvl w:val="0"/>
          <w:numId w:val="21"/>
        </w:numPr>
      </w:pPr>
      <w:r w:rsidRPr="001F6AC2">
        <w:t>Hospodaření – zhodnocení stavu a vývoje hospodaření s příjmy a výdaji</w:t>
      </w:r>
    </w:p>
    <w:p w14:paraId="359A6787" w14:textId="77777777" w:rsidR="008F135F" w:rsidRPr="001F6AC2" w:rsidRDefault="008F135F">
      <w:pPr>
        <w:pStyle w:val="Kaskda0"/>
        <w:numPr>
          <w:ilvl w:val="0"/>
          <w:numId w:val="21"/>
        </w:numPr>
      </w:pPr>
      <w:r w:rsidRPr="001F6AC2">
        <w:t>Dluhové – zhodnocení dluhové služby a schopnosti splácet dluh</w:t>
      </w:r>
    </w:p>
    <w:p w14:paraId="7F826CB2" w14:textId="77777777" w:rsidR="008F135F" w:rsidRPr="001F6AC2" w:rsidRDefault="008F135F">
      <w:pPr>
        <w:pStyle w:val="Kaskda0"/>
        <w:numPr>
          <w:ilvl w:val="0"/>
          <w:numId w:val="21"/>
        </w:numPr>
      </w:pPr>
      <w:r w:rsidRPr="001F6AC2">
        <w:t>Finanční – zhodnocení finanční nezávislosti a její ovlivnitelnost</w:t>
      </w:r>
      <w:r w:rsidR="00E534FE" w:rsidRPr="001F6AC2">
        <w:t>i</w:t>
      </w:r>
      <w:r w:rsidRPr="001F6AC2">
        <w:t xml:space="preserve"> </w:t>
      </w:r>
    </w:p>
    <w:p w14:paraId="4990F3E1" w14:textId="77777777" w:rsidR="008F135F" w:rsidRPr="001F6AC2" w:rsidRDefault="008F135F">
      <w:pPr>
        <w:pStyle w:val="Kaskda0"/>
        <w:numPr>
          <w:ilvl w:val="0"/>
          <w:numId w:val="21"/>
        </w:numPr>
      </w:pPr>
      <w:r w:rsidRPr="001F6AC2">
        <w:t>Likvidita – zhodnocení disponibility prostředků a schopnosti jejich aktivace</w:t>
      </w:r>
    </w:p>
    <w:p w14:paraId="28678C63" w14:textId="77777777" w:rsidR="003B60D4" w:rsidRDefault="003B60D4" w:rsidP="003B60D4">
      <w:r w:rsidRPr="00277D96">
        <w:t xml:space="preserve">Ekonomická situace je zhodnocena ve dvou obdobích, a to na základě hodnoceného časového rozpětí. Ekonomické hodnocení je prováděno stejnou soustavou ukazatelů, protože je ale zhodnocení výhledového období zatíženo určitou mírou nejistoty, je </w:t>
      </w:r>
      <w:r w:rsidRPr="00051967">
        <w:t xml:space="preserve">využito dvou stupnic s rozdílnou citlivostí na dosažené hodnoty. </w:t>
      </w:r>
    </w:p>
    <w:p w14:paraId="27816C56" w14:textId="6F0DB323" w:rsidR="00AB5156" w:rsidRPr="00051967" w:rsidRDefault="00AB5156" w:rsidP="00AB5156">
      <w:pPr>
        <w:pStyle w:val="Kaskda0"/>
        <w:ind w:left="644" w:hanging="360"/>
      </w:pPr>
      <w:r w:rsidRPr="00051967">
        <w:t xml:space="preserve">Ekonomické hodnocení minulého období </w:t>
      </w:r>
      <w:proofErr w:type="gramStart"/>
      <w:r w:rsidR="001E2303">
        <w:t>2020</w:t>
      </w:r>
      <w:r w:rsidRPr="00BF2726">
        <w:t xml:space="preserve"> - </w:t>
      </w:r>
      <w:r w:rsidR="001E2303">
        <w:t>2024</w:t>
      </w:r>
      <w:proofErr w:type="gramEnd"/>
    </w:p>
    <w:p w14:paraId="2B25E5D4" w14:textId="77777777" w:rsidR="00AB5156" w:rsidRDefault="00AB5156" w:rsidP="00AB5156">
      <w:pPr>
        <w:pStyle w:val="Objekt"/>
      </w:pPr>
      <w:r w:rsidRPr="00657A79">
        <w:rPr>
          <w:noProof/>
          <w:lang w:eastAsia="cs-CZ"/>
        </w:rPr>
        <w:drawing>
          <wp:inline distT="0" distB="0" distL="0" distR="0" wp14:anchorId="4FC17874" wp14:editId="4C36D9AC">
            <wp:extent cx="4860925" cy="334651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3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EAD89" w14:textId="0894144D" w:rsidR="00AB5156" w:rsidRPr="00BA28A6" w:rsidRDefault="00AB5156" w:rsidP="00AB5156">
      <w:pPr>
        <w:pStyle w:val="Kaskda0"/>
        <w:ind w:left="644" w:hanging="360"/>
      </w:pPr>
      <w:r w:rsidRPr="00657A79">
        <w:t xml:space="preserve">Ekonomické hodnocení </w:t>
      </w:r>
      <w:r w:rsidRPr="00BA28A6">
        <w:t xml:space="preserve">výhledového období </w:t>
      </w:r>
      <w:proofErr w:type="gramStart"/>
      <w:r w:rsidR="001E2303">
        <w:t>2026</w:t>
      </w:r>
      <w:r w:rsidRPr="00BA28A6">
        <w:t xml:space="preserve"> – </w:t>
      </w:r>
      <w:r w:rsidR="001E2303">
        <w:t>2030</w:t>
      </w:r>
      <w:proofErr w:type="gramEnd"/>
    </w:p>
    <w:p w14:paraId="326A1788" w14:textId="37BB94C5" w:rsidR="00BA28A6" w:rsidRDefault="00AB5156" w:rsidP="00A973E9">
      <w:pPr>
        <w:spacing w:before="0"/>
      </w:pPr>
      <w:r w:rsidRPr="00716E9C">
        <w:rPr>
          <w:noProof/>
          <w:lang w:eastAsia="cs-CZ"/>
        </w:rPr>
        <w:drawing>
          <wp:inline distT="0" distB="0" distL="0" distR="0" wp14:anchorId="6F498C06" wp14:editId="738DBBA3">
            <wp:extent cx="4860925" cy="334651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3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5FCE6" w14:textId="2255E5EE" w:rsidR="00B01126" w:rsidRDefault="00B01126" w:rsidP="005A4747">
      <w:r w:rsidRPr="00FB4E51">
        <w:t>Úspěšné hodnocení pomůže předcházet ekonomickým problémům</w:t>
      </w:r>
      <w:r w:rsidR="005A4747" w:rsidRPr="00FB4E51">
        <w:t xml:space="preserve"> </w:t>
      </w:r>
      <w:r w:rsidRPr="00FB4E51">
        <w:t>v budoucnosti. Poskytuje také potenciálním věřitelům cenné detailní informace, protože výsledek</w:t>
      </w:r>
      <w:r w:rsidRPr="00277D96">
        <w:t xml:space="preserve"> hodnocení vyjadřuje schopnost hodnocené</w:t>
      </w:r>
      <w:r w:rsidR="000D195F" w:rsidRPr="00277D96">
        <w:t>ho</w:t>
      </w:r>
      <w:r w:rsidRPr="00277D96">
        <w:t xml:space="preserve"> </w:t>
      </w:r>
      <w:r w:rsidR="000D195F" w:rsidRPr="00277D96">
        <w:t>ÚSC</w:t>
      </w:r>
      <w:r w:rsidRPr="00277D96">
        <w:t xml:space="preserve"> dostát svým závazkům a tím tedy poskytuje doporučení, zda a za jakých podmínek </w:t>
      </w:r>
      <w:r w:rsidR="00E6424A">
        <w:t>uzavřít</w:t>
      </w:r>
      <w:r w:rsidRPr="00277D96">
        <w:t xml:space="preserve"> s daným subjektem obchodní vztah. Výhoda zdravého hospodaření se promítá také do žádostí o různé dotace a půjčky ze státního rozpočtu a státních fondů. </w:t>
      </w:r>
      <w:r w:rsidR="000D195F" w:rsidRPr="00277D96">
        <w:t>Municipality</w:t>
      </w:r>
      <w:r w:rsidRPr="00277D96">
        <w:t xml:space="preserve"> též používají ratingová hodnocení jako výhodu při vyjednávání se zahraničními investory. Informace, které rating poskytuje, jsou komplexní a mohou sloužit jako jeden z faktorů, které investoři zvažují během složitého rozhodování při výběru nejvhodnější oblasti pro realizaci svých investičních záměrů.</w:t>
      </w:r>
    </w:p>
    <w:p w14:paraId="1D4F96D3" w14:textId="2929DA7E" w:rsidR="00911FE2" w:rsidRPr="007F7EE4" w:rsidRDefault="00887D2D" w:rsidP="00911FE2">
      <w:pPr>
        <w:pStyle w:val="Graf0"/>
      </w:pPr>
      <w:bookmarkStart w:id="160" w:name="_Toc213758639"/>
      <w:r>
        <w:t>P</w:t>
      </w:r>
      <w:r w:rsidR="00911FE2">
        <w:t>řidělené ekonomické hodnocení</w:t>
      </w:r>
      <w:bookmarkEnd w:id="160"/>
    </w:p>
    <w:p w14:paraId="1159F080" w14:textId="643F0DE5" w:rsidR="00911FE2" w:rsidRDefault="00B622B6" w:rsidP="00911FE2">
      <w:pPr>
        <w:jc w:val="center"/>
      </w:pPr>
      <w:r w:rsidRPr="00B622B6">
        <w:rPr>
          <w:noProof/>
        </w:rPr>
        <w:drawing>
          <wp:inline distT="0" distB="0" distL="0" distR="0" wp14:anchorId="5A1D23FA" wp14:editId="75B035EC">
            <wp:extent cx="3115771" cy="3073400"/>
            <wp:effectExtent l="0" t="0" r="8890" b="0"/>
            <wp:docPr id="1076823617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25" cy="309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A7C8" w14:textId="77777777" w:rsidR="00911FE2" w:rsidRDefault="00911FE2" w:rsidP="00911FE2">
      <w:r w:rsidRPr="00E6424A">
        <w:lastRenderedPageBreak/>
        <w:t xml:space="preserve">Ekonomické hodnocení města poukazuje na stabilní trend jeho vývoje. Vychází z </w:t>
      </w:r>
      <w:r w:rsidRPr="00B12F7B">
        <w:t>hospodaření města v minulosti a z nastavených trendů vývoje v budoucích pěti letech.</w:t>
      </w:r>
    </w:p>
    <w:p w14:paraId="1F33E603" w14:textId="7FC95A22" w:rsidR="005B7F1F" w:rsidRPr="007F7EE4" w:rsidRDefault="005B7F1F" w:rsidP="009A770A">
      <w:pPr>
        <w:pStyle w:val="Tabulka"/>
      </w:pPr>
      <w:bookmarkStart w:id="161" w:name="_Toc213758615"/>
      <w:r w:rsidRPr="007F7EE4">
        <w:t xml:space="preserve">Ekonomické hodnocení města v letech </w:t>
      </w:r>
      <w:proofErr w:type="gramStart"/>
      <w:r w:rsidRPr="007F7EE4">
        <w:t>2013 - 2020</w:t>
      </w:r>
      <w:proofErr w:type="gramEnd"/>
      <w:r w:rsidRPr="007F7EE4">
        <w:t xml:space="preserve"> (staré)</w:t>
      </w:r>
      <w:bookmarkEnd w:id="161"/>
    </w:p>
    <w:tbl>
      <w:tblPr>
        <w:tblW w:w="264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966"/>
        <w:gridCol w:w="966"/>
        <w:gridCol w:w="960"/>
        <w:gridCol w:w="957"/>
      </w:tblGrid>
      <w:tr w:rsidR="00CF4531" w:rsidRPr="00D93300" w14:paraId="27190AF9" w14:textId="77777777" w:rsidTr="00CF4531">
        <w:trPr>
          <w:trHeight w:hRule="exact" w:val="284"/>
        </w:trPr>
        <w:tc>
          <w:tcPr>
            <w:tcW w:w="1429" w:type="pct"/>
            <w:tcBorders>
              <w:bottom w:val="single" w:sz="12" w:space="0" w:color="0018F5"/>
            </w:tcBorders>
            <w:shd w:val="clear" w:color="auto" w:fill="FFFFFF" w:themeFill="background1"/>
            <w:noWrap/>
            <w:vAlign w:val="center"/>
            <w:hideMark/>
          </w:tcPr>
          <w:p w14:paraId="250BCE7E" w14:textId="77777777" w:rsidR="00CF4531" w:rsidRPr="00D93300" w:rsidRDefault="00CF4531" w:rsidP="00D93300">
            <w:pPr>
              <w:spacing w:before="0" w:line="240" w:lineRule="auto"/>
              <w:jc w:val="center"/>
              <w:rPr>
                <w:rFonts w:eastAsia="Times New Roman" w:cstheme="minorHAnsi"/>
                <w:b/>
                <w:color w:val="0018F5"/>
                <w:szCs w:val="22"/>
              </w:rPr>
            </w:pPr>
            <w:r w:rsidRPr="00D93300">
              <w:rPr>
                <w:rFonts w:eastAsia="Times New Roman" w:cstheme="minorHAnsi"/>
                <w:b/>
                <w:color w:val="0018F5"/>
                <w:szCs w:val="22"/>
              </w:rPr>
              <w:t>Hodnocení</w:t>
            </w:r>
          </w:p>
        </w:tc>
        <w:tc>
          <w:tcPr>
            <w:tcW w:w="896" w:type="pct"/>
            <w:tcBorders>
              <w:bottom w:val="single" w:sz="12" w:space="0" w:color="0018F5"/>
            </w:tcBorders>
            <w:shd w:val="clear" w:color="auto" w:fill="FFFFFF" w:themeFill="background1"/>
            <w:vAlign w:val="center"/>
          </w:tcPr>
          <w:p w14:paraId="279108E0" w14:textId="77777777" w:rsidR="00CF4531" w:rsidRPr="00D93300" w:rsidRDefault="00CF4531" w:rsidP="00AB5156">
            <w:pPr>
              <w:spacing w:before="0" w:line="240" w:lineRule="auto"/>
              <w:jc w:val="center"/>
              <w:rPr>
                <w:rFonts w:eastAsia="Times New Roman" w:cstheme="minorHAnsi"/>
                <w:b/>
                <w:color w:val="0018F5"/>
                <w:szCs w:val="22"/>
              </w:rPr>
            </w:pPr>
            <w:r w:rsidRPr="00D93300">
              <w:rPr>
                <w:rFonts w:eastAsia="Times New Roman" w:cstheme="minorHAnsi"/>
                <w:b/>
                <w:color w:val="0018F5"/>
                <w:szCs w:val="22"/>
              </w:rPr>
              <w:t>2017</w:t>
            </w:r>
          </w:p>
        </w:tc>
        <w:tc>
          <w:tcPr>
            <w:tcW w:w="896" w:type="pct"/>
            <w:tcBorders>
              <w:bottom w:val="single" w:sz="12" w:space="0" w:color="0018F5"/>
            </w:tcBorders>
            <w:shd w:val="clear" w:color="auto" w:fill="FFFFFF" w:themeFill="background1"/>
            <w:vAlign w:val="center"/>
          </w:tcPr>
          <w:p w14:paraId="020E2FDA" w14:textId="77777777" w:rsidR="00CF4531" w:rsidRPr="00D93300" w:rsidRDefault="00CF4531" w:rsidP="00AB5156">
            <w:pPr>
              <w:spacing w:before="0" w:line="240" w:lineRule="auto"/>
              <w:jc w:val="center"/>
              <w:rPr>
                <w:rFonts w:eastAsia="Times New Roman" w:cstheme="minorHAnsi"/>
                <w:b/>
                <w:color w:val="0018F5"/>
                <w:szCs w:val="22"/>
              </w:rPr>
            </w:pPr>
            <w:r w:rsidRPr="00D93300">
              <w:rPr>
                <w:rFonts w:eastAsia="Times New Roman" w:cstheme="minorHAnsi"/>
                <w:b/>
                <w:color w:val="0018F5"/>
                <w:szCs w:val="22"/>
              </w:rPr>
              <w:t>2018</w:t>
            </w:r>
          </w:p>
        </w:tc>
        <w:tc>
          <w:tcPr>
            <w:tcW w:w="891" w:type="pct"/>
            <w:tcBorders>
              <w:bottom w:val="single" w:sz="12" w:space="0" w:color="0018F5"/>
            </w:tcBorders>
            <w:shd w:val="clear" w:color="auto" w:fill="FFFFFF" w:themeFill="background1"/>
            <w:vAlign w:val="center"/>
          </w:tcPr>
          <w:p w14:paraId="754E73B1" w14:textId="77777777" w:rsidR="00CF4531" w:rsidRPr="00D93300" w:rsidRDefault="00CF4531" w:rsidP="00AB5156">
            <w:pPr>
              <w:spacing w:before="0" w:line="240" w:lineRule="auto"/>
              <w:jc w:val="center"/>
              <w:rPr>
                <w:rFonts w:eastAsia="Times New Roman" w:cstheme="minorHAnsi"/>
                <w:b/>
                <w:color w:val="0018F5"/>
                <w:szCs w:val="22"/>
              </w:rPr>
            </w:pPr>
            <w:r w:rsidRPr="00D93300">
              <w:rPr>
                <w:rFonts w:eastAsia="Times New Roman" w:cstheme="minorHAnsi"/>
                <w:b/>
                <w:color w:val="0018F5"/>
                <w:szCs w:val="22"/>
              </w:rPr>
              <w:t>2019</w:t>
            </w:r>
          </w:p>
        </w:tc>
        <w:tc>
          <w:tcPr>
            <w:tcW w:w="888" w:type="pct"/>
            <w:tcBorders>
              <w:bottom w:val="single" w:sz="12" w:space="0" w:color="0018F5"/>
            </w:tcBorders>
            <w:shd w:val="clear" w:color="auto" w:fill="FFFFFF" w:themeFill="background1"/>
            <w:vAlign w:val="center"/>
          </w:tcPr>
          <w:p w14:paraId="5DB941AA" w14:textId="77777777" w:rsidR="00CF4531" w:rsidRPr="00D93300" w:rsidRDefault="00CF4531" w:rsidP="00AB5156">
            <w:pPr>
              <w:spacing w:before="0" w:line="240" w:lineRule="auto"/>
              <w:jc w:val="center"/>
              <w:rPr>
                <w:rFonts w:eastAsia="Times New Roman" w:cstheme="minorHAnsi"/>
                <w:b/>
                <w:color w:val="0018F5"/>
                <w:szCs w:val="22"/>
              </w:rPr>
            </w:pPr>
            <w:r w:rsidRPr="00D93300">
              <w:rPr>
                <w:rFonts w:eastAsia="Times New Roman" w:cstheme="minorHAnsi"/>
                <w:b/>
                <w:color w:val="0018F5"/>
                <w:szCs w:val="22"/>
              </w:rPr>
              <w:t>2020</w:t>
            </w:r>
          </w:p>
        </w:tc>
      </w:tr>
      <w:tr w:rsidR="00CF4531" w:rsidRPr="00D93300" w14:paraId="32B196C1" w14:textId="77777777" w:rsidTr="00CF4531">
        <w:trPr>
          <w:trHeight w:hRule="exact" w:val="284"/>
        </w:trPr>
        <w:tc>
          <w:tcPr>
            <w:tcW w:w="1429" w:type="pct"/>
            <w:tcBorders>
              <w:top w:val="single" w:sz="12" w:space="0" w:color="0018F5"/>
            </w:tcBorders>
            <w:noWrap/>
            <w:vAlign w:val="center"/>
            <w:hideMark/>
          </w:tcPr>
          <w:p w14:paraId="06C6C1BC" w14:textId="77777777" w:rsidR="00CF4531" w:rsidRPr="00D93300" w:rsidRDefault="00CF4531" w:rsidP="00AB5156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 w:rsidRPr="00D93300">
              <w:rPr>
                <w:rFonts w:eastAsia="Times New Roman" w:cstheme="minorHAnsi"/>
                <w:bCs/>
                <w:szCs w:val="22"/>
              </w:rPr>
              <w:t>Dlouhodobé</w:t>
            </w:r>
          </w:p>
        </w:tc>
        <w:tc>
          <w:tcPr>
            <w:tcW w:w="896" w:type="pct"/>
            <w:tcBorders>
              <w:top w:val="single" w:sz="12" w:space="0" w:color="0018F5"/>
            </w:tcBorders>
            <w:vAlign w:val="center"/>
          </w:tcPr>
          <w:p w14:paraId="68C40D8E" w14:textId="50F0E32B" w:rsidR="00CF4531" w:rsidRPr="00D93300" w:rsidRDefault="00CF4531" w:rsidP="00325803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 w:rsidRPr="00D93300">
              <w:rPr>
                <w:rFonts w:eastAsia="Times New Roman" w:cstheme="minorHAnsi"/>
                <w:bCs/>
                <w:szCs w:val="22"/>
              </w:rPr>
              <w:t>A2</w:t>
            </w:r>
            <w:r>
              <w:rPr>
                <w:rFonts w:eastAsia="Times New Roman" w:cstheme="minorHAnsi"/>
                <w:bCs/>
                <w:szCs w:val="22"/>
              </w:rPr>
              <w:t>-</w:t>
            </w:r>
          </w:p>
        </w:tc>
        <w:tc>
          <w:tcPr>
            <w:tcW w:w="896" w:type="pct"/>
            <w:tcBorders>
              <w:top w:val="single" w:sz="12" w:space="0" w:color="0018F5"/>
            </w:tcBorders>
            <w:vAlign w:val="center"/>
          </w:tcPr>
          <w:p w14:paraId="4448E5E4" w14:textId="13A51062" w:rsidR="00CF4531" w:rsidRPr="00D93300" w:rsidRDefault="00CF4531" w:rsidP="00325803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 w:rsidRPr="00D93300">
              <w:rPr>
                <w:rFonts w:eastAsia="Times New Roman" w:cstheme="minorHAnsi"/>
                <w:bCs/>
                <w:szCs w:val="22"/>
              </w:rPr>
              <w:t>A2</w:t>
            </w:r>
            <w:r>
              <w:rPr>
                <w:rFonts w:eastAsia="Times New Roman" w:cstheme="minorHAnsi"/>
                <w:bCs/>
                <w:szCs w:val="22"/>
              </w:rPr>
              <w:t>-</w:t>
            </w:r>
          </w:p>
        </w:tc>
        <w:tc>
          <w:tcPr>
            <w:tcW w:w="891" w:type="pct"/>
            <w:tcBorders>
              <w:top w:val="single" w:sz="12" w:space="0" w:color="0018F5"/>
            </w:tcBorders>
            <w:vAlign w:val="center"/>
          </w:tcPr>
          <w:p w14:paraId="3BA8257C" w14:textId="3DF05A02" w:rsidR="00CF4531" w:rsidRPr="00D93300" w:rsidRDefault="00CF4531" w:rsidP="00325803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 w:rsidRPr="00D93300">
              <w:rPr>
                <w:rFonts w:eastAsia="Times New Roman" w:cstheme="minorHAnsi"/>
                <w:bCs/>
                <w:szCs w:val="22"/>
              </w:rPr>
              <w:t>A2</w:t>
            </w:r>
            <w:r>
              <w:rPr>
                <w:rFonts w:eastAsia="Times New Roman" w:cstheme="minorHAnsi"/>
                <w:bCs/>
                <w:szCs w:val="22"/>
              </w:rPr>
              <w:t>-</w:t>
            </w:r>
          </w:p>
        </w:tc>
        <w:tc>
          <w:tcPr>
            <w:tcW w:w="888" w:type="pct"/>
            <w:tcBorders>
              <w:top w:val="single" w:sz="12" w:space="0" w:color="0018F5"/>
            </w:tcBorders>
            <w:vAlign w:val="center"/>
          </w:tcPr>
          <w:p w14:paraId="3CB2CEBA" w14:textId="1B06D7C0" w:rsidR="00CF4531" w:rsidRPr="00D93300" w:rsidRDefault="00CF4531" w:rsidP="00AB5156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 w:rsidRPr="00D93300">
              <w:rPr>
                <w:rFonts w:eastAsia="Times New Roman" w:cstheme="minorHAnsi"/>
                <w:bCs/>
                <w:szCs w:val="22"/>
              </w:rPr>
              <w:t>A2</w:t>
            </w:r>
            <w:r>
              <w:rPr>
                <w:rFonts w:eastAsia="Times New Roman" w:cstheme="minorHAnsi"/>
                <w:bCs/>
                <w:szCs w:val="22"/>
              </w:rPr>
              <w:t>-</w:t>
            </w:r>
          </w:p>
        </w:tc>
      </w:tr>
      <w:tr w:rsidR="00CF4531" w:rsidRPr="001F6AC2" w14:paraId="2EC87517" w14:textId="77777777" w:rsidTr="00CF4531">
        <w:trPr>
          <w:trHeight w:hRule="exact" w:val="284"/>
        </w:trPr>
        <w:tc>
          <w:tcPr>
            <w:tcW w:w="1429" w:type="pct"/>
            <w:noWrap/>
            <w:vAlign w:val="center"/>
            <w:hideMark/>
          </w:tcPr>
          <w:p w14:paraId="61F13424" w14:textId="77777777" w:rsidR="00CF4531" w:rsidRPr="00D93300" w:rsidRDefault="00CF4531" w:rsidP="00AB5156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 w:rsidRPr="00D93300">
              <w:rPr>
                <w:rFonts w:eastAsia="Times New Roman" w:cstheme="minorHAnsi"/>
                <w:bCs/>
                <w:szCs w:val="22"/>
              </w:rPr>
              <w:t>Krátkodobé</w:t>
            </w:r>
          </w:p>
        </w:tc>
        <w:tc>
          <w:tcPr>
            <w:tcW w:w="896" w:type="pct"/>
            <w:vAlign w:val="center"/>
          </w:tcPr>
          <w:p w14:paraId="0BBD9C5E" w14:textId="77777777" w:rsidR="00CF4531" w:rsidRPr="00D93300" w:rsidRDefault="00CF4531" w:rsidP="00325803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 w:rsidRPr="00D93300">
              <w:rPr>
                <w:rFonts w:eastAsia="Times New Roman" w:cstheme="minorHAnsi"/>
                <w:bCs/>
                <w:szCs w:val="22"/>
              </w:rPr>
              <w:t>STR2</w:t>
            </w:r>
          </w:p>
        </w:tc>
        <w:tc>
          <w:tcPr>
            <w:tcW w:w="896" w:type="pct"/>
            <w:vAlign w:val="center"/>
          </w:tcPr>
          <w:p w14:paraId="042474A7" w14:textId="77777777" w:rsidR="00CF4531" w:rsidRPr="00D93300" w:rsidRDefault="00CF4531" w:rsidP="00325803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 w:rsidRPr="00D93300">
              <w:rPr>
                <w:rFonts w:eastAsia="Times New Roman" w:cstheme="minorHAnsi"/>
                <w:bCs/>
                <w:szCs w:val="22"/>
              </w:rPr>
              <w:t>STR2</w:t>
            </w:r>
          </w:p>
        </w:tc>
        <w:tc>
          <w:tcPr>
            <w:tcW w:w="891" w:type="pct"/>
            <w:vAlign w:val="center"/>
          </w:tcPr>
          <w:p w14:paraId="059BEE7B" w14:textId="77777777" w:rsidR="00CF4531" w:rsidRPr="00D93300" w:rsidRDefault="00CF4531" w:rsidP="00325803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 w:rsidRPr="00D93300">
              <w:rPr>
                <w:rFonts w:eastAsia="Times New Roman" w:cstheme="minorHAnsi"/>
                <w:bCs/>
                <w:szCs w:val="22"/>
              </w:rPr>
              <w:t>STR2</w:t>
            </w:r>
          </w:p>
        </w:tc>
        <w:tc>
          <w:tcPr>
            <w:tcW w:w="888" w:type="pct"/>
            <w:vAlign w:val="center"/>
          </w:tcPr>
          <w:p w14:paraId="4A18A6EB" w14:textId="77777777" w:rsidR="00CF4531" w:rsidRPr="001F6AC2" w:rsidRDefault="00CF4531" w:rsidP="00AB5156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 w:rsidRPr="00D93300">
              <w:rPr>
                <w:rFonts w:eastAsia="Times New Roman" w:cstheme="minorHAnsi"/>
                <w:bCs/>
                <w:szCs w:val="22"/>
              </w:rPr>
              <w:t>STR2</w:t>
            </w:r>
          </w:p>
        </w:tc>
      </w:tr>
    </w:tbl>
    <w:p w14:paraId="5B40C686" w14:textId="698AFFAA" w:rsidR="001A3B44" w:rsidRPr="007F7EE4" w:rsidRDefault="001A3B44" w:rsidP="009A770A">
      <w:pPr>
        <w:pStyle w:val="Tabulka"/>
      </w:pPr>
      <w:bookmarkStart w:id="162" w:name="_Toc213758616"/>
      <w:r w:rsidRPr="007F7EE4">
        <w:t xml:space="preserve">Ekonomické hodnocení města v letech </w:t>
      </w:r>
      <w:proofErr w:type="gramStart"/>
      <w:r w:rsidRPr="007F7EE4">
        <w:t>20</w:t>
      </w:r>
      <w:r w:rsidR="0041031E" w:rsidRPr="007F7EE4">
        <w:t>21</w:t>
      </w:r>
      <w:r w:rsidRPr="007F7EE4">
        <w:t xml:space="preserve"> - 20</w:t>
      </w:r>
      <w:r w:rsidR="0041031E" w:rsidRPr="007F7EE4">
        <w:t>2</w:t>
      </w:r>
      <w:r w:rsidR="00F15ADB" w:rsidRPr="007F7EE4">
        <w:t>7</w:t>
      </w:r>
      <w:proofErr w:type="gramEnd"/>
      <w:r w:rsidRPr="007F7EE4">
        <w:t xml:space="preserve"> (nové)</w:t>
      </w:r>
      <w:bookmarkEnd w:id="162"/>
    </w:p>
    <w:tbl>
      <w:tblPr>
        <w:tblW w:w="311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1"/>
        <w:gridCol w:w="963"/>
        <w:gridCol w:w="965"/>
        <w:gridCol w:w="964"/>
        <w:gridCol w:w="964"/>
        <w:gridCol w:w="963"/>
      </w:tblGrid>
      <w:tr w:rsidR="00CF4531" w:rsidRPr="00D93300" w14:paraId="3FD3F8DF" w14:textId="77777777" w:rsidTr="00CF4531">
        <w:trPr>
          <w:trHeight w:hRule="exact" w:val="284"/>
        </w:trPr>
        <w:tc>
          <w:tcPr>
            <w:tcW w:w="1211" w:type="pct"/>
            <w:tcBorders>
              <w:bottom w:val="single" w:sz="12" w:space="0" w:color="0018F5"/>
            </w:tcBorders>
            <w:noWrap/>
            <w:vAlign w:val="center"/>
            <w:hideMark/>
          </w:tcPr>
          <w:p w14:paraId="5F0CF458" w14:textId="77777777" w:rsidR="00CF4531" w:rsidRPr="00D93300" w:rsidRDefault="00CF4531" w:rsidP="00325803">
            <w:pPr>
              <w:spacing w:before="0" w:line="240" w:lineRule="auto"/>
              <w:jc w:val="center"/>
              <w:rPr>
                <w:rFonts w:eastAsia="Times New Roman" w:cstheme="minorHAnsi"/>
                <w:b/>
                <w:color w:val="0018F5"/>
                <w:szCs w:val="22"/>
              </w:rPr>
            </w:pPr>
            <w:r w:rsidRPr="00D93300">
              <w:rPr>
                <w:rFonts w:eastAsia="Times New Roman" w:cstheme="minorHAnsi"/>
                <w:b/>
                <w:color w:val="0018F5"/>
                <w:szCs w:val="22"/>
              </w:rPr>
              <w:t>Hodnocení</w:t>
            </w:r>
          </w:p>
        </w:tc>
        <w:tc>
          <w:tcPr>
            <w:tcW w:w="757" w:type="pct"/>
            <w:tcBorders>
              <w:bottom w:val="single" w:sz="12" w:space="0" w:color="0018F5"/>
            </w:tcBorders>
            <w:noWrap/>
            <w:vAlign w:val="center"/>
            <w:hideMark/>
          </w:tcPr>
          <w:p w14:paraId="0F06C2DE" w14:textId="77777777" w:rsidR="00CF4531" w:rsidRPr="00D93300" w:rsidRDefault="00CF4531" w:rsidP="0041031E">
            <w:pPr>
              <w:spacing w:before="0" w:line="240" w:lineRule="auto"/>
              <w:jc w:val="center"/>
              <w:rPr>
                <w:rFonts w:eastAsia="Times New Roman" w:cstheme="minorHAnsi"/>
                <w:b/>
                <w:color w:val="0018F5"/>
                <w:szCs w:val="22"/>
              </w:rPr>
            </w:pPr>
            <w:r w:rsidRPr="00D93300">
              <w:rPr>
                <w:rFonts w:eastAsia="Times New Roman" w:cstheme="minorHAnsi"/>
                <w:b/>
                <w:color w:val="0018F5"/>
                <w:szCs w:val="22"/>
              </w:rPr>
              <w:t>2021</w:t>
            </w:r>
          </w:p>
        </w:tc>
        <w:tc>
          <w:tcPr>
            <w:tcW w:w="759" w:type="pct"/>
            <w:tcBorders>
              <w:bottom w:val="single" w:sz="12" w:space="0" w:color="0018F5"/>
            </w:tcBorders>
            <w:noWrap/>
            <w:vAlign w:val="center"/>
            <w:hideMark/>
          </w:tcPr>
          <w:p w14:paraId="116E6B89" w14:textId="77777777" w:rsidR="00CF4531" w:rsidRPr="00D93300" w:rsidRDefault="00CF4531" w:rsidP="0041031E">
            <w:pPr>
              <w:spacing w:before="0" w:line="240" w:lineRule="auto"/>
              <w:jc w:val="center"/>
              <w:rPr>
                <w:rFonts w:eastAsia="Times New Roman" w:cstheme="minorHAnsi"/>
                <w:b/>
                <w:color w:val="0018F5"/>
                <w:szCs w:val="22"/>
              </w:rPr>
            </w:pPr>
            <w:r w:rsidRPr="00D93300">
              <w:rPr>
                <w:rFonts w:eastAsia="Times New Roman" w:cstheme="minorHAnsi"/>
                <w:b/>
                <w:color w:val="0018F5"/>
                <w:szCs w:val="22"/>
              </w:rPr>
              <w:t>2022</w:t>
            </w:r>
          </w:p>
        </w:tc>
        <w:tc>
          <w:tcPr>
            <w:tcW w:w="758" w:type="pct"/>
            <w:tcBorders>
              <w:bottom w:val="single" w:sz="12" w:space="0" w:color="0018F5"/>
            </w:tcBorders>
            <w:noWrap/>
            <w:vAlign w:val="center"/>
            <w:hideMark/>
          </w:tcPr>
          <w:p w14:paraId="542012AD" w14:textId="77777777" w:rsidR="00CF4531" w:rsidRPr="00D93300" w:rsidRDefault="00CF4531" w:rsidP="0041031E">
            <w:pPr>
              <w:spacing w:before="0" w:line="240" w:lineRule="auto"/>
              <w:jc w:val="center"/>
              <w:rPr>
                <w:rFonts w:eastAsia="Times New Roman" w:cstheme="minorHAnsi"/>
                <w:b/>
                <w:color w:val="0018F5"/>
                <w:szCs w:val="22"/>
              </w:rPr>
            </w:pPr>
            <w:r w:rsidRPr="00D93300">
              <w:rPr>
                <w:rFonts w:eastAsia="Times New Roman" w:cstheme="minorHAnsi"/>
                <w:b/>
                <w:color w:val="0018F5"/>
                <w:szCs w:val="22"/>
              </w:rPr>
              <w:t>2023</w:t>
            </w:r>
          </w:p>
        </w:tc>
        <w:tc>
          <w:tcPr>
            <w:tcW w:w="758" w:type="pct"/>
            <w:tcBorders>
              <w:bottom w:val="single" w:sz="12" w:space="0" w:color="0018F5"/>
            </w:tcBorders>
            <w:noWrap/>
            <w:vAlign w:val="center"/>
            <w:hideMark/>
          </w:tcPr>
          <w:p w14:paraId="6D79619E" w14:textId="77777777" w:rsidR="00CF4531" w:rsidRPr="00D93300" w:rsidRDefault="00CF4531" w:rsidP="0041031E">
            <w:pPr>
              <w:spacing w:before="0" w:line="240" w:lineRule="auto"/>
              <w:jc w:val="center"/>
              <w:rPr>
                <w:rFonts w:eastAsia="Times New Roman" w:cstheme="minorHAnsi"/>
                <w:b/>
                <w:color w:val="0018F5"/>
                <w:szCs w:val="22"/>
              </w:rPr>
            </w:pPr>
            <w:r w:rsidRPr="00D93300">
              <w:rPr>
                <w:rFonts w:eastAsia="Times New Roman" w:cstheme="minorHAnsi"/>
                <w:b/>
                <w:color w:val="0018F5"/>
                <w:szCs w:val="22"/>
              </w:rPr>
              <w:t>2024</w:t>
            </w:r>
          </w:p>
        </w:tc>
        <w:tc>
          <w:tcPr>
            <w:tcW w:w="758" w:type="pct"/>
            <w:tcBorders>
              <w:bottom w:val="single" w:sz="12" w:space="0" w:color="0018F5"/>
            </w:tcBorders>
            <w:noWrap/>
            <w:vAlign w:val="center"/>
            <w:hideMark/>
          </w:tcPr>
          <w:p w14:paraId="64A2E461" w14:textId="77777777" w:rsidR="00CF4531" w:rsidRPr="00D93300" w:rsidRDefault="00CF4531" w:rsidP="0041031E">
            <w:pPr>
              <w:spacing w:before="0" w:line="240" w:lineRule="auto"/>
              <w:jc w:val="center"/>
              <w:rPr>
                <w:rFonts w:eastAsia="Times New Roman" w:cstheme="minorHAnsi"/>
                <w:b/>
                <w:color w:val="0018F5"/>
                <w:szCs w:val="22"/>
              </w:rPr>
            </w:pPr>
            <w:r w:rsidRPr="00D93300">
              <w:rPr>
                <w:rFonts w:eastAsia="Times New Roman" w:cstheme="minorHAnsi"/>
                <w:b/>
                <w:color w:val="0018F5"/>
                <w:szCs w:val="22"/>
              </w:rPr>
              <w:t>2025</w:t>
            </w:r>
          </w:p>
        </w:tc>
      </w:tr>
      <w:tr w:rsidR="00CF4531" w:rsidRPr="00277D96" w14:paraId="5EFA58E3" w14:textId="77777777" w:rsidTr="00CF4531">
        <w:trPr>
          <w:trHeight w:hRule="exact" w:val="284"/>
        </w:trPr>
        <w:tc>
          <w:tcPr>
            <w:tcW w:w="1211" w:type="pct"/>
            <w:tcBorders>
              <w:top w:val="single" w:sz="12" w:space="0" w:color="0018F5"/>
            </w:tcBorders>
            <w:noWrap/>
            <w:vAlign w:val="center"/>
            <w:hideMark/>
          </w:tcPr>
          <w:p w14:paraId="41FF6C36" w14:textId="77777777" w:rsidR="00CF4531" w:rsidRPr="00277D96" w:rsidRDefault="00CF4531" w:rsidP="00AB5156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 w:rsidRPr="00277D96">
              <w:rPr>
                <w:rFonts w:eastAsia="Times New Roman" w:cstheme="minorHAnsi"/>
                <w:bCs/>
                <w:szCs w:val="22"/>
              </w:rPr>
              <w:t>Minulost</w:t>
            </w:r>
          </w:p>
        </w:tc>
        <w:tc>
          <w:tcPr>
            <w:tcW w:w="757" w:type="pct"/>
            <w:tcBorders>
              <w:top w:val="single" w:sz="12" w:space="0" w:color="0018F5"/>
            </w:tcBorders>
            <w:noWrap/>
            <w:vAlign w:val="center"/>
          </w:tcPr>
          <w:p w14:paraId="7EE72E5A" w14:textId="19E258AF" w:rsidR="00CF4531" w:rsidRPr="00277D96" w:rsidRDefault="00CF4531" w:rsidP="00AB5156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>
              <w:rPr>
                <w:rFonts w:eastAsia="Times New Roman" w:cstheme="minorHAnsi"/>
                <w:bCs/>
                <w:szCs w:val="22"/>
              </w:rPr>
              <w:t>Bb1</w:t>
            </w:r>
          </w:p>
        </w:tc>
        <w:tc>
          <w:tcPr>
            <w:tcW w:w="759" w:type="pct"/>
            <w:tcBorders>
              <w:top w:val="single" w:sz="12" w:space="0" w:color="0018F5"/>
            </w:tcBorders>
            <w:noWrap/>
            <w:vAlign w:val="center"/>
          </w:tcPr>
          <w:p w14:paraId="05EA31A1" w14:textId="36FF0791" w:rsidR="00CF4531" w:rsidRPr="00277D96" w:rsidRDefault="00CF4531" w:rsidP="0041031E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>
              <w:rPr>
                <w:rFonts w:eastAsia="Times New Roman" w:cstheme="minorHAnsi"/>
                <w:bCs/>
                <w:szCs w:val="22"/>
              </w:rPr>
              <w:t>B2</w:t>
            </w:r>
          </w:p>
        </w:tc>
        <w:tc>
          <w:tcPr>
            <w:tcW w:w="758" w:type="pct"/>
            <w:tcBorders>
              <w:top w:val="single" w:sz="12" w:space="0" w:color="0018F5"/>
            </w:tcBorders>
            <w:noWrap/>
            <w:vAlign w:val="center"/>
          </w:tcPr>
          <w:p w14:paraId="047E9594" w14:textId="108AD707" w:rsidR="00CF4531" w:rsidRPr="00277D96" w:rsidRDefault="00CF4531" w:rsidP="0041031E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>
              <w:rPr>
                <w:rFonts w:eastAsia="Times New Roman" w:cstheme="minorHAnsi"/>
                <w:bCs/>
                <w:szCs w:val="22"/>
              </w:rPr>
              <w:t>B2</w:t>
            </w:r>
          </w:p>
        </w:tc>
        <w:tc>
          <w:tcPr>
            <w:tcW w:w="758" w:type="pct"/>
            <w:tcBorders>
              <w:top w:val="single" w:sz="12" w:space="0" w:color="0018F5"/>
            </w:tcBorders>
            <w:noWrap/>
            <w:vAlign w:val="center"/>
          </w:tcPr>
          <w:p w14:paraId="073D0910" w14:textId="5BA7D8BA" w:rsidR="00CF4531" w:rsidRPr="00277D96" w:rsidRDefault="00CF4531" w:rsidP="0041031E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>
              <w:rPr>
                <w:rFonts w:eastAsia="Times New Roman" w:cstheme="minorHAnsi"/>
                <w:bCs/>
                <w:szCs w:val="22"/>
              </w:rPr>
              <w:t>Aaa2</w:t>
            </w:r>
          </w:p>
        </w:tc>
        <w:tc>
          <w:tcPr>
            <w:tcW w:w="758" w:type="pct"/>
            <w:tcBorders>
              <w:top w:val="single" w:sz="12" w:space="0" w:color="0018F5"/>
            </w:tcBorders>
            <w:noWrap/>
            <w:vAlign w:val="center"/>
          </w:tcPr>
          <w:p w14:paraId="4B916A6D" w14:textId="4BA3C57F" w:rsidR="00CF4531" w:rsidRPr="00277D96" w:rsidRDefault="00CF4531" w:rsidP="0041031E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>
              <w:rPr>
                <w:rFonts w:eastAsia="Times New Roman" w:cstheme="minorHAnsi"/>
                <w:bCs/>
                <w:szCs w:val="22"/>
              </w:rPr>
              <w:t>Aaa1</w:t>
            </w:r>
          </w:p>
        </w:tc>
      </w:tr>
      <w:tr w:rsidR="00CF4531" w:rsidRPr="00277D96" w14:paraId="7FC8AA0D" w14:textId="77777777" w:rsidTr="00CF4531">
        <w:trPr>
          <w:trHeight w:hRule="exact" w:val="284"/>
        </w:trPr>
        <w:tc>
          <w:tcPr>
            <w:tcW w:w="1211" w:type="pct"/>
            <w:noWrap/>
            <w:vAlign w:val="center"/>
            <w:hideMark/>
          </w:tcPr>
          <w:p w14:paraId="4530EE5B" w14:textId="77777777" w:rsidR="00CF4531" w:rsidRPr="00277D96" w:rsidRDefault="00CF4531" w:rsidP="00AB5156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 w:rsidRPr="00277D96">
              <w:rPr>
                <w:rFonts w:eastAsia="Times New Roman" w:cstheme="minorHAnsi"/>
                <w:bCs/>
                <w:szCs w:val="22"/>
              </w:rPr>
              <w:t>Budoucnost</w:t>
            </w:r>
          </w:p>
        </w:tc>
        <w:tc>
          <w:tcPr>
            <w:tcW w:w="757" w:type="pct"/>
            <w:noWrap/>
            <w:vAlign w:val="center"/>
          </w:tcPr>
          <w:p w14:paraId="0134F680" w14:textId="77777777" w:rsidR="00CF4531" w:rsidRPr="00277D96" w:rsidRDefault="00CF4531" w:rsidP="0041031E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>
              <w:rPr>
                <w:rFonts w:eastAsia="Times New Roman" w:cstheme="minorHAnsi"/>
                <w:bCs/>
                <w:szCs w:val="22"/>
              </w:rPr>
              <w:t>STR2</w:t>
            </w:r>
          </w:p>
        </w:tc>
        <w:tc>
          <w:tcPr>
            <w:tcW w:w="759" w:type="pct"/>
            <w:noWrap/>
            <w:vAlign w:val="center"/>
          </w:tcPr>
          <w:p w14:paraId="67E12D04" w14:textId="32B46610" w:rsidR="00CF4531" w:rsidRPr="00277D96" w:rsidRDefault="00CF4531" w:rsidP="0041031E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>
              <w:rPr>
                <w:rFonts w:eastAsia="Times New Roman" w:cstheme="minorHAnsi"/>
                <w:bCs/>
                <w:szCs w:val="22"/>
              </w:rPr>
              <w:t>STR2</w:t>
            </w:r>
          </w:p>
        </w:tc>
        <w:tc>
          <w:tcPr>
            <w:tcW w:w="758" w:type="pct"/>
            <w:noWrap/>
            <w:vAlign w:val="center"/>
          </w:tcPr>
          <w:p w14:paraId="4488EC36" w14:textId="482D5D2E" w:rsidR="00CF4531" w:rsidRPr="00277D96" w:rsidRDefault="00CF4531" w:rsidP="0041031E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>
              <w:rPr>
                <w:rFonts w:eastAsia="Times New Roman" w:cstheme="minorHAnsi"/>
                <w:bCs/>
                <w:szCs w:val="22"/>
              </w:rPr>
              <w:t>STR2</w:t>
            </w:r>
          </w:p>
        </w:tc>
        <w:tc>
          <w:tcPr>
            <w:tcW w:w="758" w:type="pct"/>
            <w:noWrap/>
            <w:vAlign w:val="center"/>
          </w:tcPr>
          <w:p w14:paraId="53DABF4A" w14:textId="6E1C031F" w:rsidR="00CF4531" w:rsidRPr="00277D96" w:rsidRDefault="00CF4531" w:rsidP="0041031E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>
              <w:rPr>
                <w:rFonts w:eastAsia="Times New Roman" w:cstheme="minorHAnsi"/>
                <w:bCs/>
                <w:szCs w:val="22"/>
              </w:rPr>
              <w:t>STR2</w:t>
            </w:r>
          </w:p>
        </w:tc>
        <w:tc>
          <w:tcPr>
            <w:tcW w:w="758" w:type="pct"/>
            <w:noWrap/>
            <w:vAlign w:val="center"/>
          </w:tcPr>
          <w:p w14:paraId="09E95466" w14:textId="6CCDE353" w:rsidR="00CF4531" w:rsidRPr="00277D96" w:rsidRDefault="00CF4531" w:rsidP="0041031E">
            <w:pPr>
              <w:spacing w:before="0" w:line="240" w:lineRule="auto"/>
              <w:jc w:val="center"/>
              <w:rPr>
                <w:rFonts w:eastAsia="Times New Roman" w:cstheme="minorHAnsi"/>
                <w:bCs/>
                <w:szCs w:val="22"/>
              </w:rPr>
            </w:pPr>
            <w:r>
              <w:rPr>
                <w:rFonts w:eastAsia="Times New Roman" w:cstheme="minorHAnsi"/>
                <w:bCs/>
                <w:szCs w:val="22"/>
              </w:rPr>
              <w:t>STR2</w:t>
            </w:r>
          </w:p>
        </w:tc>
      </w:tr>
    </w:tbl>
    <w:p w14:paraId="24B6189C" w14:textId="77777777" w:rsidR="00B12F7B" w:rsidRDefault="00B12F7B" w:rsidP="00993408"/>
    <w:p w14:paraId="544801FE" w14:textId="77777777" w:rsidR="00B01126" w:rsidRPr="00277D96" w:rsidRDefault="00B01126" w:rsidP="00D26773">
      <w:pPr>
        <w:pStyle w:val="Nadpis1"/>
        <w:numPr>
          <w:ilvl w:val="0"/>
          <w:numId w:val="0"/>
        </w:numPr>
        <w:ind w:left="431" w:hanging="431"/>
      </w:pPr>
      <w:bookmarkStart w:id="163" w:name="_Toc62211731"/>
      <w:bookmarkStart w:id="164" w:name="_Toc213759000"/>
      <w:r w:rsidRPr="00277D96">
        <w:lastRenderedPageBreak/>
        <w:t>Závěr</w:t>
      </w:r>
      <w:bookmarkEnd w:id="163"/>
      <w:bookmarkEnd w:id="164"/>
    </w:p>
    <w:p w14:paraId="69814E3A" w14:textId="1550F57B" w:rsidR="001D09F4" w:rsidRPr="001F4B61" w:rsidRDefault="006422DC" w:rsidP="001D09F4">
      <w:r w:rsidRPr="00277D96">
        <w:t xml:space="preserve">Střednědobý výhled rozpočtu pro období </w:t>
      </w:r>
      <w:proofErr w:type="gramStart"/>
      <w:r w:rsidR="001E2303">
        <w:t>2026 - 2030</w:t>
      </w:r>
      <w:proofErr w:type="gramEnd"/>
      <w:r w:rsidRPr="00277D96">
        <w:t xml:space="preserve"> vychází z podrobné analýzy hospodaření města v letech </w:t>
      </w:r>
      <w:proofErr w:type="gramStart"/>
      <w:r w:rsidR="001E2303">
        <w:t>2020</w:t>
      </w:r>
      <w:r w:rsidRPr="00277D96">
        <w:t xml:space="preserve"> - </w:t>
      </w:r>
      <w:r w:rsidR="001E2303">
        <w:t>2024</w:t>
      </w:r>
      <w:proofErr w:type="gramEnd"/>
      <w:r>
        <w:t xml:space="preserve"> </w:t>
      </w:r>
      <w:r w:rsidRPr="00277D96">
        <w:t xml:space="preserve">a platného rozpočtu roku </w:t>
      </w:r>
      <w:r w:rsidR="001E2303">
        <w:t>2025</w:t>
      </w:r>
      <w:r w:rsidRPr="00277D96">
        <w:t xml:space="preserve">. </w:t>
      </w:r>
      <w:r w:rsidR="001D09F4" w:rsidRPr="003C5FCC">
        <w:t>Na základě těchto analýz, s přih</w:t>
      </w:r>
      <w:r w:rsidR="001D09F4">
        <w:t>lédnutím k legislativním změnám</w:t>
      </w:r>
      <w:r w:rsidR="001D09F4" w:rsidRPr="003C5FCC">
        <w:t xml:space="preserve">, současné </w:t>
      </w:r>
      <w:r w:rsidR="001D09F4" w:rsidRPr="001F4B61">
        <w:t xml:space="preserve">ekonomické situaci ovlivněné jak energetickou krizí a bezprecedentně vysokou inflací, </w:t>
      </w:r>
      <w:r w:rsidR="0030731E" w:rsidRPr="001F4B61">
        <w:t xml:space="preserve">tak i </w:t>
      </w:r>
      <w:r w:rsidR="002A59CE" w:rsidRPr="001F4B61">
        <w:t>předpokládaným dopadem</w:t>
      </w:r>
      <w:r w:rsidR="0030731E" w:rsidRPr="001F4B61">
        <w:t xml:space="preserve"> konsolidačního balíčku, </w:t>
      </w:r>
      <w:r w:rsidR="001D09F4" w:rsidRPr="001F4B61">
        <w:t>spolu s konzultacemi s vedoucí finančního odboru</w:t>
      </w:r>
      <w:r w:rsidR="00D67E97">
        <w:t>,</w:t>
      </w:r>
      <w:r w:rsidR="001F4B61" w:rsidRPr="001F4B61">
        <w:t xml:space="preserve"> </w:t>
      </w:r>
      <w:r w:rsidR="001D09F4" w:rsidRPr="001F4B61">
        <w:t xml:space="preserve">byl sestaven střednědobý výhled rozpočtu města. </w:t>
      </w:r>
    </w:p>
    <w:p w14:paraId="20A308EC" w14:textId="77777777" w:rsidR="006422DC" w:rsidRPr="003C5FCC" w:rsidRDefault="006422DC" w:rsidP="006422DC">
      <w:r w:rsidRPr="001F4B61">
        <w:t>Samostatnou kapitolou jsou sdílené daně, jejichž inkaso bude závislé na ekonomickém vývoji ovlivňovaném současnou i budoucí zdravotní</w:t>
      </w:r>
      <w:r w:rsidRPr="003C5FCC">
        <w:t xml:space="preserve">, politickou a ekonomickou situací, které budou dozajista vyvolávat další legislativní změny v ekonomické oblasti. </w:t>
      </w:r>
    </w:p>
    <w:p w14:paraId="299A1742" w14:textId="77777777" w:rsidR="00667666" w:rsidRPr="008C7F03" w:rsidRDefault="00667666" w:rsidP="009A770A">
      <w:pPr>
        <w:pStyle w:val="Tabulka"/>
      </w:pPr>
      <w:bookmarkStart w:id="165" w:name="_Toc213758617"/>
      <w:r w:rsidRPr="007F7EE4">
        <w:t xml:space="preserve">Predikce sdílených daní dle MF </w:t>
      </w:r>
      <w:r w:rsidRPr="008C7F03">
        <w:t>ČR</w:t>
      </w:r>
      <w:bookmarkEnd w:id="165"/>
    </w:p>
    <w:p w14:paraId="177B0A6F" w14:textId="2C18EB02" w:rsidR="00667666" w:rsidRPr="008C7F03" w:rsidRDefault="00B2515D" w:rsidP="00724EBF">
      <w:pPr>
        <w:pStyle w:val="Objekt"/>
      </w:pPr>
      <w:r w:rsidRPr="00B2515D">
        <w:rPr>
          <w:noProof/>
        </w:rPr>
        <w:drawing>
          <wp:inline distT="0" distB="0" distL="0" distR="0" wp14:anchorId="2198E39C" wp14:editId="29F707DD">
            <wp:extent cx="6480810" cy="1483360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8DAFE" w14:textId="77777777" w:rsidR="00B2515D" w:rsidRDefault="00B2515D" w:rsidP="00D20366">
      <w:r w:rsidRPr="00BA28A6">
        <w:t xml:space="preserve">Tabulka zobrazuje aktuální stav v oblasti </w:t>
      </w:r>
      <w:r w:rsidRPr="00452C5B">
        <w:t>sdílených daní</w:t>
      </w:r>
      <w:r>
        <w:t>.</w:t>
      </w:r>
      <w:r w:rsidRPr="00452C5B">
        <w:t xml:space="preserve"> </w:t>
      </w:r>
      <w:r>
        <w:t>O</w:t>
      </w:r>
      <w:r w:rsidRPr="00BA28A6">
        <w:t>bsahuj</w:t>
      </w:r>
      <w:r>
        <w:t>e</w:t>
      </w:r>
      <w:r w:rsidRPr="00BA28A6">
        <w:t xml:space="preserve"> hodnoty </w:t>
      </w:r>
      <w:r>
        <w:t>vycházející z platného SR (rok 2025), navrženého SR (rok 2026) a střednědobého výhledu rozpočtu státu (2027 a 2028)</w:t>
      </w:r>
      <w:r w:rsidRPr="00452C5B">
        <w:t xml:space="preserve">, sloupečky označené „SVR“ zobrazují hodnoty z tohoto dokumentu. </w:t>
      </w:r>
    </w:p>
    <w:p w14:paraId="22DAF7CA" w14:textId="71BAD06C" w:rsidR="00D20366" w:rsidRPr="001F4B61" w:rsidRDefault="00667666" w:rsidP="00D20366">
      <w:r w:rsidRPr="001F4B61">
        <w:t xml:space="preserve">Z tabulky je patrné, že </w:t>
      </w:r>
      <w:r w:rsidR="00666ACE" w:rsidRPr="001F4B61">
        <w:t xml:space="preserve">město </w:t>
      </w:r>
      <w:r w:rsidR="001E2303" w:rsidRPr="001F4B61">
        <w:t>Slavkov u Brna</w:t>
      </w:r>
      <w:r w:rsidRPr="001F4B61">
        <w:t xml:space="preserve"> </w:t>
      </w:r>
      <w:r w:rsidR="00C47E6D" w:rsidRPr="001F4B61">
        <w:t>počítá</w:t>
      </w:r>
      <w:r w:rsidR="00B2515D">
        <w:t xml:space="preserve"> ve výhledu</w:t>
      </w:r>
      <w:r w:rsidR="00C47E6D" w:rsidRPr="001F4B61">
        <w:t xml:space="preserve"> s</w:t>
      </w:r>
      <w:r w:rsidRPr="001F4B61">
        <w:t xml:space="preserve"> rezerv</w:t>
      </w:r>
      <w:r w:rsidR="00C47E6D" w:rsidRPr="001F4B61">
        <w:t>o</w:t>
      </w:r>
      <w:r w:rsidRPr="001F4B61">
        <w:t xml:space="preserve">u sdílených daní </w:t>
      </w:r>
      <w:r w:rsidR="001F4B61" w:rsidRPr="001F4B61">
        <w:t xml:space="preserve">pouze v roce </w:t>
      </w:r>
      <w:r w:rsidR="00C47E6D" w:rsidRPr="001F4B61">
        <w:t>202</w:t>
      </w:r>
      <w:r w:rsidR="001F4B61" w:rsidRPr="001F4B61">
        <w:t>6,</w:t>
      </w:r>
      <w:r w:rsidR="00D20366" w:rsidRPr="001F4B61">
        <w:t xml:space="preserve"> </w:t>
      </w:r>
      <w:r w:rsidR="00C47E6D" w:rsidRPr="001F4B61">
        <w:t>a to</w:t>
      </w:r>
      <w:r w:rsidR="00B25F01" w:rsidRPr="001F4B61">
        <w:t xml:space="preserve"> </w:t>
      </w:r>
      <w:r w:rsidR="00C47E6D" w:rsidRPr="001F4B61">
        <w:t>ve výši</w:t>
      </w:r>
      <w:r w:rsidRPr="001F4B61">
        <w:t xml:space="preserve"> </w:t>
      </w:r>
      <w:r w:rsidR="001F4B61" w:rsidRPr="001F4B61">
        <w:t>3</w:t>
      </w:r>
      <w:r w:rsidR="00C47E6D" w:rsidRPr="001F4B61">
        <w:t>,</w:t>
      </w:r>
      <w:r w:rsidRPr="001F4B61">
        <w:t xml:space="preserve">2 %. </w:t>
      </w:r>
      <w:r w:rsidR="00B25F01" w:rsidRPr="001F4B61">
        <w:t>Pokud ve vývoji situace nedojde oproti očekávání k dalším zásadním změnám, lze počítat v jednotlivých letech s uvedenými hodnot</w:t>
      </w:r>
      <w:r w:rsidR="00D20366" w:rsidRPr="001F4B61">
        <w:t>ami</w:t>
      </w:r>
      <w:r w:rsidR="00B25F01" w:rsidRPr="001F4B61">
        <w:t xml:space="preserve"> SVR, v roce 202</w:t>
      </w:r>
      <w:r w:rsidR="001F4B61" w:rsidRPr="001F4B61">
        <w:t>6</w:t>
      </w:r>
      <w:r w:rsidR="00B25F01" w:rsidRPr="001F4B61">
        <w:t xml:space="preserve"> pak s</w:t>
      </w:r>
      <w:r w:rsidR="00D20366" w:rsidRPr="001F4B61">
        <w:t xml:space="preserve"> až </w:t>
      </w:r>
      <w:r w:rsidR="00B25F01" w:rsidRPr="001F4B61">
        <w:t xml:space="preserve">o </w:t>
      </w:r>
      <w:r w:rsidR="00B2515D">
        <w:t>5,8</w:t>
      </w:r>
      <w:r w:rsidR="00B25F01" w:rsidRPr="001F4B61">
        <w:t xml:space="preserve"> mil. Kč vyššími </w:t>
      </w:r>
      <w:proofErr w:type="gramStart"/>
      <w:r w:rsidR="00B25F01" w:rsidRPr="001F4B61">
        <w:t>příjmy</w:t>
      </w:r>
      <w:proofErr w:type="gramEnd"/>
      <w:r w:rsidR="00B25F01" w:rsidRPr="001F4B61">
        <w:t xml:space="preserve"> než predikuje střednědobý výhled. </w:t>
      </w:r>
      <w:r w:rsidR="00D20366" w:rsidRPr="001F4B61">
        <w:t xml:space="preserve">V grafu č. </w:t>
      </w:r>
      <w:r w:rsidR="00B2515D">
        <w:t>12</w:t>
      </w:r>
      <w:r w:rsidR="00D20366" w:rsidRPr="001F4B61">
        <w:t xml:space="preserve"> pak bylo upozorněno na skutečnost, kdy zpravidla docházelo k optimističtějšímu plnění oproti predikci MF (v průměru let </w:t>
      </w:r>
      <w:proofErr w:type="gramStart"/>
      <w:r w:rsidR="001E2303" w:rsidRPr="001F4B61">
        <w:t>2020</w:t>
      </w:r>
      <w:r w:rsidR="00D20366" w:rsidRPr="001F4B61">
        <w:t xml:space="preserve"> – </w:t>
      </w:r>
      <w:r w:rsidR="001E2303" w:rsidRPr="001F4B61">
        <w:t>2024</w:t>
      </w:r>
      <w:proofErr w:type="gramEnd"/>
      <w:r w:rsidR="00D20366" w:rsidRPr="001F4B61">
        <w:t xml:space="preserve"> o </w:t>
      </w:r>
      <w:r w:rsidR="001E2303" w:rsidRPr="001F4B61">
        <w:t>6,8 %</w:t>
      </w:r>
      <w:r w:rsidR="00D20366" w:rsidRPr="001F4B61">
        <w:t>).</w:t>
      </w:r>
    </w:p>
    <w:p w14:paraId="267CD32F" w14:textId="374410DA" w:rsidR="001F4B61" w:rsidRDefault="00346904" w:rsidP="001202B2">
      <w:pPr>
        <w:rPr>
          <w:bCs/>
        </w:rPr>
      </w:pPr>
      <w:r w:rsidRPr="001F4B61">
        <w:t xml:space="preserve">Pozitivem v hospodaření je, že i po ekonomicky a finančně </w:t>
      </w:r>
      <w:r w:rsidR="00D05B4F" w:rsidRPr="001F4B61">
        <w:t xml:space="preserve">náročných pandemických letech 2020 a 2021 </w:t>
      </w:r>
      <w:r w:rsidRPr="001F4B61">
        <w:t xml:space="preserve">město neomezuje svoji investiční aktivitu. </w:t>
      </w:r>
      <w:r w:rsidR="004C39B4" w:rsidRPr="001F4B61">
        <w:t>V </w:t>
      </w:r>
      <w:r w:rsidR="001F4B61" w:rsidRPr="001F4B61">
        <w:t>letech</w:t>
      </w:r>
      <w:r w:rsidR="004C39B4" w:rsidRPr="001F4B61">
        <w:t xml:space="preserve"> </w:t>
      </w:r>
      <w:r w:rsidR="001F4B61" w:rsidRPr="001F4B61">
        <w:t xml:space="preserve">2021 a </w:t>
      </w:r>
      <w:r w:rsidR="001E2303" w:rsidRPr="001F4B61">
        <w:t>2024</w:t>
      </w:r>
      <w:r w:rsidR="004C39B4" w:rsidRPr="001F4B61">
        <w:t xml:space="preserve"> město investovalo zdaleka největší objem finančních prostředků (</w:t>
      </w:r>
      <w:r w:rsidR="001F4B61" w:rsidRPr="001F4B61">
        <w:t xml:space="preserve">104,7, resp. </w:t>
      </w:r>
      <w:r w:rsidR="001E2303" w:rsidRPr="001F4B61">
        <w:t>134,9</w:t>
      </w:r>
      <w:r w:rsidR="004C39B4" w:rsidRPr="001F4B61">
        <w:t xml:space="preserve"> mil. Kč), v</w:t>
      </w:r>
      <w:r w:rsidR="00EB3125">
        <w:t xml:space="preserve"> platném</w:t>
      </w:r>
      <w:r w:rsidR="0064404D" w:rsidRPr="001F4B61">
        <w:t> </w:t>
      </w:r>
      <w:r w:rsidRPr="001F4B61">
        <w:t>rozpočtu</w:t>
      </w:r>
      <w:r w:rsidR="00EB3125">
        <w:t xml:space="preserve"> 2025</w:t>
      </w:r>
      <w:r w:rsidR="0064404D" w:rsidRPr="001F4B61">
        <w:t xml:space="preserve"> (</w:t>
      </w:r>
      <w:r w:rsidR="001E2303" w:rsidRPr="001F4B61">
        <w:t>302</w:t>
      </w:r>
      <w:r w:rsidR="001F4B61" w:rsidRPr="001F4B61">
        <w:t>,</w:t>
      </w:r>
      <w:r w:rsidR="001E2303" w:rsidRPr="001F4B61">
        <w:t>3</w:t>
      </w:r>
      <w:r w:rsidR="0064404D" w:rsidRPr="001F4B61">
        <w:t xml:space="preserve"> mil. Kč)</w:t>
      </w:r>
      <w:r w:rsidRPr="001F4B61">
        <w:t xml:space="preserve"> i </w:t>
      </w:r>
      <w:r w:rsidR="004C39B4" w:rsidRPr="001F4B61">
        <w:t>následující</w:t>
      </w:r>
      <w:r w:rsidR="001F4B61" w:rsidRPr="001F4B61">
        <w:t>m návrhu rozpočtu na rok 2026 (112,7 mil. Kč)</w:t>
      </w:r>
      <w:r w:rsidR="004C39B4" w:rsidRPr="001F4B61">
        <w:t xml:space="preserve"> </w:t>
      </w:r>
      <w:r w:rsidRPr="001F4B61">
        <w:t xml:space="preserve">pak předpokládá </w:t>
      </w:r>
      <w:r w:rsidR="00B25F01" w:rsidRPr="001F4B61">
        <w:t xml:space="preserve">další </w:t>
      </w:r>
      <w:r w:rsidRPr="001F4B61">
        <w:t>výrazné investice</w:t>
      </w:r>
      <w:r w:rsidR="00EB3125">
        <w:t>.</w:t>
      </w:r>
      <w:r w:rsidRPr="001F4B61">
        <w:t xml:space="preserve"> </w:t>
      </w:r>
      <w:r w:rsidR="00B25F01" w:rsidRPr="001F4B61">
        <w:t>Přesto se tato aktivita neprojeví na úrovní jeho dluhového zatížení</w:t>
      </w:r>
      <w:r w:rsidR="001F4B61" w:rsidRPr="001F4B61">
        <w:t xml:space="preserve"> (s výjimkou přechodného zvýšení díky překlenovacímu úvěru)</w:t>
      </w:r>
      <w:r w:rsidR="00B25F01" w:rsidRPr="001F4B61">
        <w:t xml:space="preserve">. Z tohoto důvodu ukazatel dluhové služby nabývá </w:t>
      </w:r>
      <w:r w:rsidR="009338DE" w:rsidRPr="001F4B61">
        <w:t xml:space="preserve">maximální hodnoty </w:t>
      </w:r>
      <w:r w:rsidR="001E2303" w:rsidRPr="001F4B61">
        <w:t>1,47</w:t>
      </w:r>
      <w:r w:rsidR="009338DE" w:rsidRPr="001F4B61">
        <w:rPr>
          <w:b/>
        </w:rPr>
        <w:t xml:space="preserve"> </w:t>
      </w:r>
      <w:r w:rsidR="009338DE" w:rsidRPr="001F4B61">
        <w:rPr>
          <w:bCs/>
        </w:rPr>
        <w:t xml:space="preserve">% a ve výhledovém období dále klesá </w:t>
      </w:r>
      <w:r w:rsidR="00B25F01" w:rsidRPr="001F4B61">
        <w:t>(metodika Ministerstva financí povoluje 25% hranici).</w:t>
      </w:r>
    </w:p>
    <w:p w14:paraId="53A65B20" w14:textId="56C95096" w:rsidR="00D20366" w:rsidRPr="00B2016B" w:rsidRDefault="001202B2" w:rsidP="001202B2">
      <w:pPr>
        <w:rPr>
          <w:bCs/>
        </w:rPr>
      </w:pPr>
      <w:r w:rsidRPr="004F15E3">
        <w:t xml:space="preserve">Důležitým ukazatelem hospodaření je provozní přebytek, který vyjadřuje jednak schopnost </w:t>
      </w:r>
      <w:r>
        <w:t>obce</w:t>
      </w:r>
      <w:r w:rsidRPr="004F15E3">
        <w:t xml:space="preserve"> obhospodařovat případný dluh a také představuje hodnoty, které jsou použitelné ke krytí </w:t>
      </w:r>
      <w:r w:rsidRPr="00B2016B">
        <w:t xml:space="preserve">investičních akcí. </w:t>
      </w:r>
      <w:r w:rsidR="00C4061D" w:rsidRPr="00B2016B">
        <w:t xml:space="preserve">Hodnoty ukazatele provozního přebytku v budoucím období jsou v průměru o </w:t>
      </w:r>
      <w:r w:rsidR="001E2303" w:rsidRPr="00B2016B">
        <w:t>23,6</w:t>
      </w:r>
      <w:r w:rsidR="00C4061D" w:rsidRPr="00B2016B">
        <w:t xml:space="preserve"> </w:t>
      </w:r>
      <w:r w:rsidR="00911164" w:rsidRPr="00B2016B">
        <w:t xml:space="preserve">mil. Kč (o </w:t>
      </w:r>
      <w:r w:rsidR="001E2303" w:rsidRPr="00B2016B">
        <w:t>24,9</w:t>
      </w:r>
      <w:r w:rsidR="00EB3125">
        <w:t xml:space="preserve"> </w:t>
      </w:r>
      <w:r w:rsidR="001E2303" w:rsidRPr="00B2016B">
        <w:t>%</w:t>
      </w:r>
      <w:r w:rsidR="00911164" w:rsidRPr="00B2016B">
        <w:t xml:space="preserve">) </w:t>
      </w:r>
      <w:r w:rsidR="001E2303" w:rsidRPr="00B2016B">
        <w:t>nižší</w:t>
      </w:r>
      <w:r w:rsidR="00C4061D" w:rsidRPr="00B2016B">
        <w:t xml:space="preserve"> než v minulosti a dosahují v roce </w:t>
      </w:r>
      <w:r w:rsidR="001E2303" w:rsidRPr="00B2016B">
        <w:t>2030</w:t>
      </w:r>
      <w:r w:rsidR="00C4061D" w:rsidRPr="00B2016B">
        <w:t xml:space="preserve"> maximální hodnoty </w:t>
      </w:r>
      <w:r w:rsidR="001E2303" w:rsidRPr="00B2016B">
        <w:t>88,1</w:t>
      </w:r>
      <w:r w:rsidR="00C4061D" w:rsidRPr="00B2016B">
        <w:t xml:space="preserve"> </w:t>
      </w:r>
      <w:r w:rsidR="00911164" w:rsidRPr="00B2016B">
        <w:t>mil. Kč.</w:t>
      </w:r>
      <w:r w:rsidRPr="00B2016B">
        <w:t xml:space="preserve"> </w:t>
      </w:r>
    </w:p>
    <w:p w14:paraId="25D668BA" w14:textId="101710A8" w:rsidR="000D5CDD" w:rsidRPr="00B250C4" w:rsidRDefault="0030731E" w:rsidP="000D5CDD">
      <w:r w:rsidRPr="00B2016B">
        <w:t xml:space="preserve">Uváděný </w:t>
      </w:r>
      <w:r w:rsidR="00E31976" w:rsidRPr="00B2016B">
        <w:t>nižší</w:t>
      </w:r>
      <w:r w:rsidRPr="00B2016B">
        <w:t xml:space="preserve"> provozní přebytek souvisí</w:t>
      </w:r>
      <w:r w:rsidR="00B2016B" w:rsidRPr="00B2016B">
        <w:t xml:space="preserve"> s poklesem předpokládaných příjmů z hazardu a přijatých sankčních plateb, na výdajové straně pak s </w:t>
      </w:r>
      <w:r w:rsidR="00E36D94" w:rsidRPr="00B2016B">
        <w:t>růstem neinvestičních transferů PO v souvislosti s úhradami mzdových výdajů nepedagogických pracovníků</w:t>
      </w:r>
      <w:r w:rsidR="00B2016B" w:rsidRPr="00B2016B">
        <w:t xml:space="preserve">. Roli hraje také </w:t>
      </w:r>
      <w:r w:rsidR="000D5CDD" w:rsidRPr="00B2016B">
        <w:t>opatrnostní přístup při sestavování výhledu rozpočtu.</w:t>
      </w:r>
      <w:r w:rsidR="000D5CDD">
        <w:t xml:space="preserve"> </w:t>
      </w:r>
    </w:p>
    <w:p w14:paraId="15EF3278" w14:textId="11CCE5FD" w:rsidR="00667666" w:rsidRPr="004F15E3" w:rsidRDefault="000F051B" w:rsidP="00667666">
      <w:r w:rsidRPr="004F15E3">
        <w:t>H</w:t>
      </w:r>
      <w:r w:rsidR="00667666" w:rsidRPr="004F15E3">
        <w:t xml:space="preserve">odnoty ukazatele provozních úspor </w:t>
      </w:r>
      <w:r w:rsidRPr="004F15E3">
        <w:t xml:space="preserve">v budoucím období </w:t>
      </w:r>
      <w:r w:rsidR="00667666" w:rsidRPr="004F15E3">
        <w:t xml:space="preserve">jsou </w:t>
      </w:r>
      <w:r w:rsidR="00E10160">
        <w:t>v průměru o</w:t>
      </w:r>
      <w:r w:rsidR="00BD263D" w:rsidRPr="004F15E3">
        <w:t xml:space="preserve"> </w:t>
      </w:r>
      <w:proofErr w:type="gramStart"/>
      <w:r w:rsidR="001E2303">
        <w:t>13,3</w:t>
      </w:r>
      <w:r w:rsidR="00BD263D" w:rsidRPr="004F15E3">
        <w:t xml:space="preserve"> procentní</w:t>
      </w:r>
      <w:r w:rsidR="00E6424A">
        <w:t>ho</w:t>
      </w:r>
      <w:proofErr w:type="gramEnd"/>
      <w:r w:rsidR="00BD263D" w:rsidRPr="004F15E3">
        <w:t xml:space="preserve"> bod</w:t>
      </w:r>
      <w:r w:rsidR="00E6424A">
        <w:t>u</w:t>
      </w:r>
      <w:r w:rsidR="00BD263D" w:rsidRPr="004F15E3">
        <w:t xml:space="preserve"> </w:t>
      </w:r>
      <w:r w:rsidR="001E2303">
        <w:t>nižší</w:t>
      </w:r>
      <w:r w:rsidR="00BD263D" w:rsidRPr="004F15E3">
        <w:t xml:space="preserve"> </w:t>
      </w:r>
      <w:r w:rsidR="00E10160">
        <w:t>než</w:t>
      </w:r>
      <w:r w:rsidR="00BD263D" w:rsidRPr="004F15E3">
        <w:t xml:space="preserve"> v minulosti a </w:t>
      </w:r>
      <w:r w:rsidR="00667666" w:rsidRPr="004F15E3">
        <w:t>dosahují</w:t>
      </w:r>
      <w:r w:rsidR="00BD263D" w:rsidRPr="004F15E3">
        <w:t xml:space="preserve"> v roce </w:t>
      </w:r>
      <w:r w:rsidR="001E2303">
        <w:t>2030</w:t>
      </w:r>
      <w:r w:rsidR="00CF06A4">
        <w:t xml:space="preserve"> </w:t>
      </w:r>
      <w:r w:rsidR="00BD263D" w:rsidRPr="00A30BA1">
        <w:t>maximální</w:t>
      </w:r>
      <w:r w:rsidR="00667666" w:rsidRPr="00A30BA1">
        <w:t xml:space="preserve"> </w:t>
      </w:r>
      <w:r w:rsidR="00BD263D" w:rsidRPr="00A30BA1">
        <w:t xml:space="preserve">hodnoty </w:t>
      </w:r>
      <w:r w:rsidR="001E2303">
        <w:t>26,13</w:t>
      </w:r>
      <w:r w:rsidR="00A30BA1" w:rsidRPr="00A30BA1">
        <w:t xml:space="preserve"> </w:t>
      </w:r>
      <w:r w:rsidR="00667666" w:rsidRPr="00A30BA1">
        <w:t>%.</w:t>
      </w:r>
    </w:p>
    <w:p w14:paraId="2085C91F" w14:textId="4C977244" w:rsidR="009F709C" w:rsidRPr="00B2016B" w:rsidRDefault="009F709C" w:rsidP="009F709C">
      <w:r w:rsidRPr="00B2016B">
        <w:lastRenderedPageBreak/>
        <w:t>Vyšší hodnota bezpečné výše zadlužení (</w:t>
      </w:r>
      <w:r w:rsidR="001E2303" w:rsidRPr="00B2016B">
        <w:t>399,0</w:t>
      </w:r>
      <w:r w:rsidRPr="00B2016B">
        <w:t xml:space="preserve"> mil. Kč) než vypočítaná současná výše dluhu, kterou stanovují pravidla zákona o rozpočtové odpovědnosti (</w:t>
      </w:r>
      <w:r w:rsidR="001E2303" w:rsidRPr="00B2016B">
        <w:t>193,2</w:t>
      </w:r>
      <w:r w:rsidRPr="00B2016B">
        <w:t xml:space="preserve"> mil. Kč), je zapříčiněna zapojením širší škály ukazatelů do výpočtu, než pouze „zjednodušující“ průměrná výše příjmů za čtyři roky.</w:t>
      </w:r>
    </w:p>
    <w:p w14:paraId="4A1E0003" w14:textId="36BB7D6D" w:rsidR="00667666" w:rsidRPr="00B2016B" w:rsidRDefault="00667666" w:rsidP="00667666">
      <w:r w:rsidRPr="00B2016B">
        <w:t>Ekonomické hodnocení města je od</w:t>
      </w:r>
      <w:r w:rsidR="00922ADB" w:rsidRPr="00B2016B">
        <w:t xml:space="preserve"> roku 2021</w:t>
      </w:r>
      <w:r w:rsidRPr="00B2016B">
        <w:t xml:space="preserve"> koncipováno diametrálně odlišně. Je rozděleno na hodnocení minulého období (posledních pět</w:t>
      </w:r>
      <w:r w:rsidR="006422DC" w:rsidRPr="00B2016B">
        <w:t xml:space="preserve"> uzavřených</w:t>
      </w:r>
      <w:r w:rsidRPr="00B2016B">
        <w:t xml:space="preserve"> let) a hodnocení výhledu (predikce následujících pěti let </w:t>
      </w:r>
      <w:r w:rsidR="005D57FC" w:rsidRPr="00B2016B">
        <w:t>SVR</w:t>
      </w:r>
      <w:r w:rsidRPr="00B2016B">
        <w:t xml:space="preserve">). Hodnocení probíhá s </w:t>
      </w:r>
      <w:r w:rsidR="00251FA4" w:rsidRPr="00B2016B">
        <w:t>rozšířenou</w:t>
      </w:r>
      <w:r w:rsidRPr="00B2016B">
        <w:t xml:space="preserve"> sadou ukazatelů (oproti minulým hodnocením se sada ukazatelů rozšířil</w:t>
      </w:r>
      <w:r w:rsidR="00E534FE" w:rsidRPr="00B2016B">
        <w:t>a o dalších 8) pro obě hodnocená</w:t>
      </w:r>
      <w:r w:rsidRPr="00B2016B">
        <w:t xml:space="preserve"> období, ale každé období je prezentováno odlišnou hodnotící stupnicí. Pro posouzení </w:t>
      </w:r>
      <w:r w:rsidR="005D57FC" w:rsidRPr="00B2016B">
        <w:t>SVR</w:t>
      </w:r>
      <w:r w:rsidRPr="00B2016B">
        <w:t xml:space="preserve"> města je samozřejmě prioritní hodnocení výhledu</w:t>
      </w:r>
      <w:r w:rsidR="00FF528E" w:rsidRPr="00B2016B">
        <w:t>,</w:t>
      </w:r>
      <w:r w:rsidRPr="00B2016B">
        <w:t xml:space="preserve"> a to je pro město </w:t>
      </w:r>
      <w:r w:rsidR="001E2303" w:rsidRPr="00B2016B">
        <w:t>Slavkov u Brna</w:t>
      </w:r>
      <w:r w:rsidRPr="00B2016B">
        <w:t xml:space="preserve"> </w:t>
      </w:r>
      <w:proofErr w:type="gramStart"/>
      <w:r w:rsidRPr="00B2016B">
        <w:t xml:space="preserve">příznivé </w:t>
      </w:r>
      <w:r w:rsidR="00922ADB" w:rsidRPr="00B2016B">
        <w:t>-</w:t>
      </w:r>
      <w:r w:rsidRPr="00B2016B">
        <w:t xml:space="preserve"> jedná</w:t>
      </w:r>
      <w:proofErr w:type="gramEnd"/>
      <w:r w:rsidRPr="00B2016B">
        <w:t xml:space="preserve"> se o „</w:t>
      </w:r>
      <w:r w:rsidR="00C35808" w:rsidRPr="00B2016B">
        <w:t>Velmi dobrý subjekt s vysokou schopností splácet své aktuální závazky</w:t>
      </w:r>
      <w:r w:rsidRPr="00B2016B">
        <w:t>“.</w:t>
      </w:r>
    </w:p>
    <w:p w14:paraId="43E4CA05" w14:textId="7F88E85A" w:rsidR="00A50A71" w:rsidRPr="00B2016B" w:rsidRDefault="000621A1" w:rsidP="00B2016B">
      <w:bookmarkStart w:id="166" w:name="_Hlk179834184"/>
      <w:r w:rsidRPr="00B2016B">
        <w:t>Sestavování střednědobého výhledu rozpočtu je zatíženo značnou mírou nejistoty</w:t>
      </w:r>
      <w:r w:rsidR="0012348C" w:rsidRPr="00B2016B">
        <w:t>,</w:t>
      </w:r>
      <w:r w:rsidRPr="00B2016B">
        <w:t xml:space="preserve"> počínaje nejasnou energetickou koncepcí ČR</w:t>
      </w:r>
      <w:r w:rsidRPr="000621A1">
        <w:t>, přes neustálený vývoj inflace</w:t>
      </w:r>
      <w:r w:rsidR="00D25CE0">
        <w:t xml:space="preserve"> </w:t>
      </w:r>
      <w:r w:rsidR="0012348C" w:rsidRPr="0012348C">
        <w:t>a výsledky voleb do poslanecké sněmovny.</w:t>
      </w:r>
    </w:p>
    <w:p w14:paraId="65945436" w14:textId="77777777" w:rsidR="004D0FAA" w:rsidRPr="005B3686" w:rsidRDefault="005B3686" w:rsidP="009A770A">
      <w:pPr>
        <w:pStyle w:val="Tabulka"/>
      </w:pPr>
      <w:bookmarkStart w:id="167" w:name="_Toc213758618"/>
      <w:bookmarkEnd w:id="166"/>
      <w:r>
        <w:lastRenderedPageBreak/>
        <w:t>Souhrnná tabulka hospodaření</w:t>
      </w:r>
      <w:bookmarkEnd w:id="167"/>
    </w:p>
    <w:p w14:paraId="066F7982" w14:textId="29B2D913" w:rsidR="004D0FAA" w:rsidRDefault="00B622B6" w:rsidP="00D26773">
      <w:pPr>
        <w:pStyle w:val="Objekt"/>
      </w:pPr>
      <w:r w:rsidRPr="00B622B6">
        <w:rPr>
          <w:noProof/>
        </w:rPr>
        <w:drawing>
          <wp:inline distT="0" distB="0" distL="0" distR="0" wp14:anchorId="7DECBC38" wp14:editId="1FDEC560">
            <wp:extent cx="6480810" cy="8131810"/>
            <wp:effectExtent l="0" t="0" r="0" b="2540"/>
            <wp:docPr id="330546837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51430" w14:textId="77777777" w:rsidR="003137C1" w:rsidRDefault="003137C1" w:rsidP="00A2717D">
      <w:pPr>
        <w:pStyle w:val="Objekt"/>
      </w:pPr>
      <w:r>
        <w:br w:type="page"/>
      </w:r>
    </w:p>
    <w:p w14:paraId="5B347CD5" w14:textId="77777777" w:rsidR="00610F4B" w:rsidRPr="00793D98" w:rsidRDefault="0046149B" w:rsidP="00E02E36">
      <w:pPr>
        <w:pStyle w:val="Nadpis1"/>
        <w:numPr>
          <w:ilvl w:val="0"/>
          <w:numId w:val="0"/>
        </w:numPr>
        <w:ind w:left="431" w:hanging="431"/>
      </w:pPr>
      <w:bookmarkStart w:id="168" w:name="_Toc213759001"/>
      <w:bookmarkStart w:id="169" w:name="_Toc354550545"/>
      <w:bookmarkStart w:id="170" w:name="_Toc428350382"/>
      <w:r w:rsidRPr="00793D98">
        <w:lastRenderedPageBreak/>
        <w:t>Seznam tabulek</w:t>
      </w:r>
      <w:r w:rsidR="00472D86">
        <w:t xml:space="preserve"> a</w:t>
      </w:r>
      <w:r w:rsidRPr="00793D98">
        <w:t xml:space="preserve"> grafů</w:t>
      </w:r>
      <w:bookmarkEnd w:id="168"/>
    </w:p>
    <w:p w14:paraId="2A2CBCB3" w14:textId="6CC14F25" w:rsidR="00EB3125" w:rsidRDefault="00572F00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r>
        <w:rPr>
          <w:rStyle w:val="Hypertextovodkaz"/>
          <w:b/>
          <w:color w:val="2E3192"/>
        </w:rPr>
        <w:fldChar w:fldCharType="begin"/>
      </w:r>
      <w:r>
        <w:rPr>
          <w:rStyle w:val="Hypertextovodkaz"/>
          <w:b/>
          <w:color w:val="2E3192"/>
        </w:rPr>
        <w:instrText xml:space="preserve"> TOC \h \z \t "Tabulka" \c </w:instrText>
      </w:r>
      <w:r>
        <w:rPr>
          <w:rStyle w:val="Hypertextovodkaz"/>
          <w:b/>
          <w:color w:val="2E3192"/>
        </w:rPr>
        <w:fldChar w:fldCharType="separate"/>
      </w:r>
      <w:hyperlink w:anchor="_Toc213758598" w:history="1">
        <w:r w:rsidR="00EB3125" w:rsidRPr="00B57F65">
          <w:rPr>
            <w:rStyle w:val="Hypertextovodkaz"/>
            <w:noProof/>
          </w:rPr>
          <w:t>Tabulka č. 1:</w:t>
        </w:r>
        <w:r w:rsidR="00EB3125"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="00EB3125" w:rsidRPr="00B57F65">
          <w:rPr>
            <w:rStyle w:val="Hypertextovodkaz"/>
            <w:noProof/>
          </w:rPr>
          <w:t>Přehled vývoje příjmů</w:t>
        </w:r>
        <w:r w:rsidR="00EB3125">
          <w:rPr>
            <w:noProof/>
            <w:webHidden/>
          </w:rPr>
          <w:tab/>
        </w:r>
        <w:r w:rsidR="00EB3125">
          <w:rPr>
            <w:noProof/>
            <w:webHidden/>
          </w:rPr>
          <w:fldChar w:fldCharType="begin"/>
        </w:r>
        <w:r w:rsidR="00EB3125">
          <w:rPr>
            <w:noProof/>
            <w:webHidden/>
          </w:rPr>
          <w:instrText xml:space="preserve"> PAGEREF _Toc213758598 \h </w:instrText>
        </w:r>
        <w:r w:rsidR="00EB3125">
          <w:rPr>
            <w:noProof/>
            <w:webHidden/>
          </w:rPr>
        </w:r>
        <w:r w:rsidR="00EB3125">
          <w:rPr>
            <w:noProof/>
            <w:webHidden/>
          </w:rPr>
          <w:fldChar w:fldCharType="separate"/>
        </w:r>
        <w:r w:rsidR="00EB3125">
          <w:rPr>
            <w:noProof/>
            <w:webHidden/>
          </w:rPr>
          <w:t>9</w:t>
        </w:r>
        <w:r w:rsidR="00EB3125">
          <w:rPr>
            <w:noProof/>
            <w:webHidden/>
          </w:rPr>
          <w:fldChar w:fldCharType="end"/>
        </w:r>
      </w:hyperlink>
    </w:p>
    <w:p w14:paraId="114FE011" w14:textId="174E301D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599" w:history="1">
        <w:r w:rsidRPr="00B57F65">
          <w:rPr>
            <w:rStyle w:val="Hypertextovodkaz"/>
            <w:noProof/>
          </w:rPr>
          <w:t>Tabulka č. 2: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Vývoj sdílených daní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053B921" w14:textId="358F17E4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00" w:history="1">
        <w:r w:rsidRPr="00B57F65">
          <w:rPr>
            <w:rStyle w:val="Hypertextovodkaz"/>
            <w:noProof/>
          </w:rPr>
          <w:t>Tabulka č. 3: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Predikce sdílených daní na aktuální rok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6F1EF5E" w14:textId="31BC880F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01" w:history="1">
        <w:r w:rsidRPr="00B57F65">
          <w:rPr>
            <w:rStyle w:val="Hypertextovodkaz"/>
            <w:noProof/>
          </w:rPr>
          <w:t>Tabulka č. 4: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Rekapitulace výdajů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A78D4D1" w14:textId="766E9E1F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02" w:history="1">
        <w:r w:rsidRPr="00B57F65">
          <w:rPr>
            <w:rStyle w:val="Hypertextovodkaz"/>
            <w:noProof/>
          </w:rPr>
          <w:t>Tabulka č. 5: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Rekapitulace hospodaření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88956CE" w14:textId="2B37E31F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03" w:history="1">
        <w:r w:rsidRPr="00B57F65">
          <w:rPr>
            <w:rStyle w:val="Hypertextovodkaz"/>
            <w:noProof/>
          </w:rPr>
          <w:t>Tabulka č. 6: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Porovnání rozpočtu a skutečnosti minulého období (provozní)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7D3E080" w14:textId="39761C9E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04" w:history="1">
        <w:r w:rsidRPr="00B57F65">
          <w:rPr>
            <w:rStyle w:val="Hypertextovodkaz"/>
            <w:noProof/>
          </w:rPr>
          <w:t>Tabulka č. 7: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Porovnání rozpočtu a skutečnosti minulého období (investiční)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65842CC" w14:textId="5F7EEF96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05" w:history="1">
        <w:r w:rsidRPr="00B57F65">
          <w:rPr>
            <w:rStyle w:val="Hypertextovodkaz"/>
            <w:noProof/>
          </w:rPr>
          <w:t>Tabulka č. 8: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Upravený rozpočet a skutečnost minulého období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3078411" w14:textId="36DD8D1E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06" w:history="1">
        <w:r w:rsidRPr="00B57F65">
          <w:rPr>
            <w:rStyle w:val="Hypertextovodkaz"/>
            <w:noProof/>
          </w:rPr>
          <w:t>Tabulka č. 9: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Fiskální pravidlo hospodaření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26278F6" w14:textId="30D72C08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07" w:history="1">
        <w:r w:rsidRPr="00B57F65">
          <w:rPr>
            <w:rStyle w:val="Hypertextovodkaz"/>
            <w:noProof/>
          </w:rPr>
          <w:t>Tabulka č. 10: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Vývoj ukazatelů dluhového hospodaření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6C747B8" w14:textId="1E64ECED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08" w:history="1">
        <w:r w:rsidRPr="00B57F65">
          <w:rPr>
            <w:rStyle w:val="Hypertextovodkaz"/>
            <w:noProof/>
          </w:rPr>
          <w:t>Tabulka č. 11: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Vývoj cash flow a platební schopnosti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61702DC" w14:textId="16223649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09" w:history="1">
        <w:r w:rsidRPr="00B57F65">
          <w:rPr>
            <w:rStyle w:val="Hypertextovodkaz"/>
            <w:noProof/>
          </w:rPr>
          <w:t>Tabulka č. 12: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Kumulovaný střednědobý výhled rozpočtu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BD5816B" w14:textId="1DF5CD1F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10" w:history="1">
        <w:r w:rsidRPr="00B57F65">
          <w:rPr>
            <w:rStyle w:val="Hypertextovodkaz"/>
            <w:noProof/>
          </w:rPr>
          <w:t>Tabulka č. 13: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Volné finanční prostředky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8D2DB5C" w14:textId="799864DD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11" w:history="1">
        <w:r w:rsidRPr="00B57F65">
          <w:rPr>
            <w:rStyle w:val="Hypertextovodkaz"/>
            <w:noProof/>
          </w:rPr>
          <w:t>Tabulka č. 14: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Disponibilní prostředky výhledového období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C362B11" w14:textId="2D9218AB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12" w:history="1">
        <w:r w:rsidRPr="00B57F65">
          <w:rPr>
            <w:rStyle w:val="Hypertextovodkaz"/>
            <w:noProof/>
          </w:rPr>
          <w:t>Tabulka č. 15: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Rozpis dluhové služby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51F126E" w14:textId="4BBD9865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13" w:history="1">
        <w:r w:rsidRPr="00B57F65">
          <w:rPr>
            <w:rStyle w:val="Hypertextovodkaz"/>
            <w:noProof/>
          </w:rPr>
          <w:t>Tabulka č. 16: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Predikce rozpočtové odpovědnosti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412C4FB" w14:textId="7A93DD44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14" w:history="1">
        <w:r w:rsidRPr="00B57F65">
          <w:rPr>
            <w:rStyle w:val="Hypertextovodkaz"/>
            <w:noProof/>
          </w:rPr>
          <w:t>Tabulka č. 17: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Predikce ukazatelů zadluženosti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2F1B7B72" w14:textId="2B2E0C22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15" w:history="1">
        <w:r w:rsidRPr="00B57F65">
          <w:rPr>
            <w:rStyle w:val="Hypertextovodkaz"/>
            <w:noProof/>
          </w:rPr>
          <w:t>Tabulka č. 18: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Ekonomické hodnocení města v letech 2013 - 2020 (staré)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C5B88F9" w14:textId="217861D7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16" w:history="1">
        <w:r w:rsidRPr="00B57F65">
          <w:rPr>
            <w:rStyle w:val="Hypertextovodkaz"/>
            <w:noProof/>
          </w:rPr>
          <w:t>Tabulka č. 19: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Ekonomické hodnocení města v letech 2021 - 2027 (nové)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EA29A03" w14:textId="0B50589D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17" w:history="1">
        <w:r w:rsidRPr="00B57F65">
          <w:rPr>
            <w:rStyle w:val="Hypertextovodkaz"/>
            <w:noProof/>
          </w:rPr>
          <w:t>Tabulka č. 20: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Predikce sdílených daní dle MF ČR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6EFB51F5" w14:textId="4CECBE49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18" w:history="1">
        <w:r w:rsidRPr="00B57F65">
          <w:rPr>
            <w:rStyle w:val="Hypertextovodkaz"/>
            <w:noProof/>
          </w:rPr>
          <w:t>Tabulka č. 21: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B57F65">
          <w:rPr>
            <w:rStyle w:val="Hypertextovodkaz"/>
            <w:noProof/>
          </w:rPr>
          <w:t>Souhrnná tabulka hospodaření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8D3FCEE" w14:textId="3A84215C" w:rsidR="0046149B" w:rsidRPr="00793D98" w:rsidRDefault="00572F00" w:rsidP="00572F00">
      <w:pPr>
        <w:pStyle w:val="Obsah1"/>
      </w:pPr>
      <w:r>
        <w:rPr>
          <w:rStyle w:val="Hypertextovodkaz"/>
          <w:b/>
          <w:noProof w:val="0"/>
          <w:color w:val="2E3192"/>
          <w:szCs w:val="19"/>
        </w:rPr>
        <w:fldChar w:fldCharType="end"/>
      </w:r>
    </w:p>
    <w:p w14:paraId="02F55B80" w14:textId="1FD9DC77" w:rsidR="00EB3125" w:rsidRDefault="002C458E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r w:rsidRPr="00793D98">
        <w:rPr>
          <w:szCs w:val="21"/>
        </w:rPr>
        <w:fldChar w:fldCharType="begin"/>
      </w:r>
      <w:r w:rsidR="0046149B" w:rsidRPr="00793D98">
        <w:rPr>
          <w:szCs w:val="21"/>
        </w:rPr>
        <w:instrText xml:space="preserve"> TOC \h \z \t "Graf" \c </w:instrText>
      </w:r>
      <w:r w:rsidRPr="00793D98">
        <w:rPr>
          <w:szCs w:val="21"/>
        </w:rPr>
        <w:fldChar w:fldCharType="separate"/>
      </w:r>
      <w:hyperlink w:anchor="_Toc213758619" w:history="1">
        <w:r w:rsidR="00EB3125" w:rsidRPr="000527AA">
          <w:rPr>
            <w:rStyle w:val="Hypertextovodkaz"/>
            <w:noProof/>
          </w:rPr>
          <w:t>Graf č. 1:</w:t>
        </w:r>
        <w:r w:rsidR="00EB3125"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="00EB3125" w:rsidRPr="000527AA">
          <w:rPr>
            <w:rStyle w:val="Hypertextovodkaz"/>
            <w:noProof/>
          </w:rPr>
          <w:t>Členění běžných výdajů</w:t>
        </w:r>
        <w:r w:rsidR="00EB3125">
          <w:rPr>
            <w:noProof/>
            <w:webHidden/>
          </w:rPr>
          <w:tab/>
        </w:r>
        <w:r w:rsidR="00EB3125">
          <w:rPr>
            <w:noProof/>
            <w:webHidden/>
          </w:rPr>
          <w:fldChar w:fldCharType="begin"/>
        </w:r>
        <w:r w:rsidR="00EB3125">
          <w:rPr>
            <w:noProof/>
            <w:webHidden/>
          </w:rPr>
          <w:instrText xml:space="preserve"> PAGEREF _Toc213758619 \h </w:instrText>
        </w:r>
        <w:r w:rsidR="00EB3125">
          <w:rPr>
            <w:noProof/>
            <w:webHidden/>
          </w:rPr>
        </w:r>
        <w:r w:rsidR="00EB3125">
          <w:rPr>
            <w:noProof/>
            <w:webHidden/>
          </w:rPr>
          <w:fldChar w:fldCharType="separate"/>
        </w:r>
        <w:r w:rsidR="00EB3125">
          <w:rPr>
            <w:noProof/>
            <w:webHidden/>
          </w:rPr>
          <w:t>16</w:t>
        </w:r>
        <w:r w:rsidR="00EB3125">
          <w:rPr>
            <w:noProof/>
            <w:webHidden/>
          </w:rPr>
          <w:fldChar w:fldCharType="end"/>
        </w:r>
      </w:hyperlink>
    </w:p>
    <w:p w14:paraId="19C3DDB9" w14:textId="02A986E8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20" w:history="1">
        <w:r w:rsidRPr="000527AA">
          <w:rPr>
            <w:rStyle w:val="Hypertextovodkaz"/>
            <w:noProof/>
          </w:rPr>
          <w:t>Graf č. 2: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Krytí kapitálových výdajů investičními příjmy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A1DB9BC" w14:textId="515F1FE2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21" w:history="1">
        <w:r w:rsidRPr="000527AA">
          <w:rPr>
            <w:rStyle w:val="Hypertextovodkaz"/>
            <w:noProof/>
          </w:rPr>
          <w:t>Graf č. 3: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Krytí kapitálových výdajů minulého období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16B1C44" w14:textId="2CD427F3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22" w:history="1">
        <w:r w:rsidRPr="000527AA">
          <w:rPr>
            <w:rStyle w:val="Hypertextovodkaz"/>
            <w:noProof/>
          </w:rPr>
          <w:t>Graf č. 4: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Vývoj příjmů, výdajů a salda hospodaření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52834AB" w14:textId="0673D229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23" w:history="1">
        <w:r w:rsidRPr="000527AA">
          <w:rPr>
            <w:rStyle w:val="Hypertextovodkaz"/>
            <w:noProof/>
          </w:rPr>
          <w:t>Graf č. 5: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Vývoj běžných příjmů, výdajů a provozního přebytku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2796767" w14:textId="25F28253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24" w:history="1">
        <w:r w:rsidRPr="000527AA">
          <w:rPr>
            <w:rStyle w:val="Hypertextovodkaz"/>
            <w:noProof/>
          </w:rPr>
          <w:t>Graf č. 6: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Vývoj provozních ukazatelů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680A7D2" w14:textId="266BCD2A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25" w:history="1">
        <w:r w:rsidRPr="000527AA">
          <w:rPr>
            <w:rStyle w:val="Hypertextovodkaz"/>
            <w:noProof/>
          </w:rPr>
          <w:t>Graf č. 7: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Porovnání rozpočtu a skutečnosti minulého období (provozní)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0B2EF1E" w14:textId="5BF0D017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26" w:history="1">
        <w:r w:rsidRPr="000527AA">
          <w:rPr>
            <w:rStyle w:val="Hypertextovodkaz"/>
            <w:noProof/>
          </w:rPr>
          <w:t>Graf č. 8: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Hodnocení vybraných ukazatelů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B8C24D8" w14:textId="01B2780D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27" w:history="1">
        <w:r w:rsidRPr="000527AA">
          <w:rPr>
            <w:rStyle w:val="Hypertextovodkaz"/>
            <w:noProof/>
          </w:rPr>
          <w:t>Graf č. 9: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Měsíční průměr a vývoj cash flow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A6E4F3B" w14:textId="03EBE4E0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28" w:history="1">
        <w:r w:rsidRPr="000527AA">
          <w:rPr>
            <w:rStyle w:val="Hypertextovodkaz"/>
            <w:noProof/>
          </w:rPr>
          <w:t>Graf č. 10: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Vývoj počtu obyvatel a počtu žáků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4E25F53" w14:textId="7133E001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29" w:history="1">
        <w:r w:rsidRPr="000527AA">
          <w:rPr>
            <w:rStyle w:val="Hypertextovodkaz"/>
            <w:noProof/>
          </w:rPr>
          <w:t>Graf č. 11: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Saldo provozního a kapitálového rozpočtu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B6FEBA3" w14:textId="5C9189B0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30" w:history="1">
        <w:r w:rsidRPr="000527AA">
          <w:rPr>
            <w:rStyle w:val="Hypertextovodkaz"/>
            <w:noProof/>
          </w:rPr>
          <w:t>Graf č. 12: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Vývoj sdílených daní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FAFA90C" w14:textId="5B0F7199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31" w:history="1">
        <w:r w:rsidRPr="000527AA">
          <w:rPr>
            <w:rStyle w:val="Hypertextovodkaz"/>
            <w:noProof/>
          </w:rPr>
          <w:t>Graf č. 13: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Vývoj běžných příjmů a výdajů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0F53396" w14:textId="0AB1652F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32" w:history="1">
        <w:r w:rsidRPr="000527AA">
          <w:rPr>
            <w:rStyle w:val="Hypertextovodkaz"/>
            <w:noProof/>
          </w:rPr>
          <w:t>Graf č. 14: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Vývoj provozního přebytku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9C8CFA5" w14:textId="301F1F8E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33" w:history="1">
        <w:r w:rsidRPr="000527AA">
          <w:rPr>
            <w:rStyle w:val="Hypertextovodkaz"/>
            <w:noProof/>
          </w:rPr>
          <w:t>Graf č. 15: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Vývoj ukazatele provozních úspor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7D2B1BA" w14:textId="5FEF059D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34" w:history="1">
        <w:r w:rsidRPr="000527AA">
          <w:rPr>
            <w:rStyle w:val="Hypertextovodkaz"/>
            <w:noProof/>
          </w:rPr>
          <w:t>Graf č. 16: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Vývoj salda hospodaření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8F8FCAA" w14:textId="08FA9135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35" w:history="1">
        <w:r w:rsidRPr="000527AA">
          <w:rPr>
            <w:rStyle w:val="Hypertextovodkaz"/>
            <w:noProof/>
          </w:rPr>
          <w:t>Graf č. 17: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Vývoj volných finančních prostředků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3020CA2" w14:textId="312451D4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36" w:history="1">
        <w:r w:rsidRPr="000527AA">
          <w:rPr>
            <w:rStyle w:val="Hypertextovodkaz"/>
            <w:noProof/>
          </w:rPr>
          <w:t>Graf č. 18: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Vývoj dluhové služby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0AB5489" w14:textId="34F441BC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37" w:history="1">
        <w:r w:rsidRPr="000527AA">
          <w:rPr>
            <w:rStyle w:val="Hypertextovodkaz"/>
            <w:noProof/>
          </w:rPr>
          <w:t>Graf č. 19: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Vývoj teoretického navýšení dluhu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7D6A94B" w14:textId="6D555A38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38" w:history="1">
        <w:r w:rsidRPr="000527AA">
          <w:rPr>
            <w:rStyle w:val="Hypertextovodkaz"/>
            <w:noProof/>
          </w:rPr>
          <w:t>Graf č. 20: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Vývoj ukazatelů zadluženosti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1298274" w14:textId="44DAB425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39" w:history="1">
        <w:r w:rsidRPr="000527AA">
          <w:rPr>
            <w:rStyle w:val="Hypertextovodkaz"/>
            <w:noProof/>
          </w:rPr>
          <w:t>Graf č. 21: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0527AA">
          <w:rPr>
            <w:rStyle w:val="Hypertextovodkaz"/>
            <w:noProof/>
          </w:rPr>
          <w:t>Přidělené ekonomické hodnocení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1610EDAC" w14:textId="007E4535" w:rsidR="0046149B" w:rsidRPr="004F4117" w:rsidRDefault="002C458E" w:rsidP="00572F00">
      <w:pPr>
        <w:pStyle w:val="Obsah1"/>
        <w:rPr>
          <w:highlight w:val="yellow"/>
        </w:rPr>
      </w:pPr>
      <w:r w:rsidRPr="00793D98">
        <w:fldChar w:fldCharType="end"/>
      </w:r>
    </w:p>
    <w:p w14:paraId="57A06848" w14:textId="77777777" w:rsidR="006559F6" w:rsidRPr="004F4117" w:rsidRDefault="006559F6" w:rsidP="006559F6">
      <w:pPr>
        <w:rPr>
          <w:highlight w:val="yellow"/>
        </w:rPr>
      </w:pPr>
    </w:p>
    <w:p w14:paraId="04DE2FFD" w14:textId="78460316" w:rsidR="00D73877" w:rsidRDefault="00D73877" w:rsidP="00D73877">
      <w:pPr>
        <w:pStyle w:val="Nadpis1"/>
        <w:pageBreakBefore w:val="0"/>
        <w:numPr>
          <w:ilvl w:val="0"/>
          <w:numId w:val="0"/>
        </w:numPr>
        <w:ind w:left="431" w:hanging="431"/>
      </w:pPr>
      <w:bookmarkStart w:id="171" w:name="_Toc213759002"/>
      <w:r w:rsidRPr="00F15ADB">
        <w:lastRenderedPageBreak/>
        <w:t xml:space="preserve">Seznam </w:t>
      </w:r>
      <w:r>
        <w:t>infografik</w:t>
      </w:r>
      <w:bookmarkEnd w:id="171"/>
    </w:p>
    <w:p w14:paraId="066E6CBE" w14:textId="5F952C8F" w:rsidR="00EB3125" w:rsidRDefault="00B2579D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r>
        <w:fldChar w:fldCharType="begin"/>
      </w:r>
      <w:r>
        <w:instrText xml:space="preserve"> TOC \f I \h \z \t "Titul" \c </w:instrText>
      </w:r>
      <w:r>
        <w:fldChar w:fldCharType="separate"/>
      </w:r>
      <w:hyperlink w:anchor="_Toc213758640" w:history="1">
        <w:r w:rsidR="00EB3125" w:rsidRPr="00C7470B">
          <w:rPr>
            <w:rStyle w:val="Hypertextovodkaz"/>
            <w:noProof/>
          </w:rPr>
          <w:t>Celkové příjmy</w:t>
        </w:r>
        <w:r w:rsidR="00EB3125">
          <w:rPr>
            <w:noProof/>
            <w:webHidden/>
          </w:rPr>
          <w:tab/>
        </w:r>
        <w:r w:rsidR="00EB3125">
          <w:rPr>
            <w:noProof/>
            <w:webHidden/>
          </w:rPr>
          <w:tab/>
        </w:r>
        <w:r w:rsidR="00EB3125">
          <w:rPr>
            <w:noProof/>
            <w:webHidden/>
          </w:rPr>
          <w:fldChar w:fldCharType="begin"/>
        </w:r>
        <w:r w:rsidR="00EB3125">
          <w:rPr>
            <w:noProof/>
            <w:webHidden/>
          </w:rPr>
          <w:instrText xml:space="preserve"> PAGEREF _Toc213758640 \h </w:instrText>
        </w:r>
        <w:r w:rsidR="00EB3125">
          <w:rPr>
            <w:noProof/>
            <w:webHidden/>
          </w:rPr>
        </w:r>
        <w:r w:rsidR="00EB3125">
          <w:rPr>
            <w:noProof/>
            <w:webHidden/>
          </w:rPr>
          <w:fldChar w:fldCharType="separate"/>
        </w:r>
        <w:r w:rsidR="00EB3125">
          <w:rPr>
            <w:noProof/>
            <w:webHidden/>
          </w:rPr>
          <w:t>10</w:t>
        </w:r>
        <w:r w:rsidR="00EB3125">
          <w:rPr>
            <w:noProof/>
            <w:webHidden/>
          </w:rPr>
          <w:fldChar w:fldCharType="end"/>
        </w:r>
      </w:hyperlink>
    </w:p>
    <w:p w14:paraId="554E5C49" w14:textId="461F4D6E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41" w:history="1">
        <w:r w:rsidRPr="00C7470B">
          <w:rPr>
            <w:rStyle w:val="Hypertextovodkaz"/>
            <w:noProof/>
          </w:rPr>
          <w:t>Sdílené daně….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A373D41" w14:textId="55BA9972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42" w:history="1">
        <w:r w:rsidRPr="00C7470B">
          <w:rPr>
            <w:rStyle w:val="Hypertextovodkaz"/>
            <w:noProof/>
          </w:rPr>
          <w:t>Daňové příjmy….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435AD31" w14:textId="707AC53F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43" w:history="1">
        <w:r w:rsidRPr="00C7470B">
          <w:rPr>
            <w:rStyle w:val="Hypertextovodkaz"/>
            <w:noProof/>
          </w:rPr>
          <w:t>Nedaňové příjmy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A42350D" w14:textId="3C737BC2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44" w:history="1">
        <w:r w:rsidRPr="00C7470B">
          <w:rPr>
            <w:rStyle w:val="Hypertextovodkaz"/>
            <w:noProof/>
          </w:rPr>
          <w:t>Kapitálové příjmy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8F9FE20" w14:textId="6EB0AE18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45" w:history="1">
        <w:r w:rsidRPr="00C7470B">
          <w:rPr>
            <w:rStyle w:val="Hypertextovodkaz"/>
            <w:noProof/>
          </w:rPr>
          <w:t>Přijaté transfery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996F9A0" w14:textId="644A7A68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46" w:history="1">
        <w:r w:rsidRPr="00C7470B">
          <w:rPr>
            <w:rStyle w:val="Hypertextovodkaz"/>
            <w:noProof/>
          </w:rPr>
          <w:t>Celkové výdaje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FF34D77" w14:textId="78DB486E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47" w:history="1">
        <w:r w:rsidRPr="00C7470B">
          <w:rPr>
            <w:rStyle w:val="Hypertextovodkaz"/>
            <w:noProof/>
          </w:rPr>
          <w:t>Běžné VÝdaje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3EF75A6" w14:textId="0C9F6992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48" w:history="1">
        <w:r w:rsidRPr="00C7470B">
          <w:rPr>
            <w:rStyle w:val="Hypertextovodkaz"/>
            <w:noProof/>
          </w:rPr>
          <w:t>Kapitálové výdaje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1923077" w14:textId="14810340" w:rsidR="00D73877" w:rsidRDefault="00B2579D" w:rsidP="00C41014">
      <w:pPr>
        <w:pStyle w:val="Seznamobrzk"/>
        <w:tabs>
          <w:tab w:val="clear" w:pos="1418"/>
          <w:tab w:val="left" w:pos="9923"/>
          <w:tab w:val="right" w:pos="10206"/>
        </w:tabs>
        <w:rPr>
          <w:rStyle w:val="Hypertextovodkaz"/>
          <w:rFonts w:cstheme="minorHAnsi"/>
          <w:b/>
          <w:color w:val="2E3192"/>
        </w:rPr>
      </w:pPr>
      <w:r>
        <w:fldChar w:fldCharType="end"/>
      </w:r>
      <w:r w:rsidR="00D73877" w:rsidRPr="009D7695">
        <w:rPr>
          <w:rStyle w:val="Hypertextovodkaz"/>
          <w:rFonts w:cstheme="minorHAnsi"/>
          <w:b/>
          <w:color w:val="2E3192"/>
          <w:highlight w:val="yellow"/>
        </w:rPr>
        <w:fldChar w:fldCharType="begin"/>
      </w:r>
      <w:r w:rsidR="00D73877" w:rsidRPr="009D7695">
        <w:rPr>
          <w:rStyle w:val="Hypertextovodkaz"/>
          <w:rFonts w:cstheme="minorHAnsi"/>
          <w:b/>
          <w:color w:val="2E3192"/>
          <w:highlight w:val="yellow"/>
        </w:rPr>
        <w:instrText xml:space="preserve"> TOC \h \z \t "Příloha" \c </w:instrText>
      </w:r>
      <w:r w:rsidR="00D73877" w:rsidRPr="009D7695">
        <w:rPr>
          <w:rStyle w:val="Hypertextovodkaz"/>
          <w:rFonts w:cstheme="minorHAnsi"/>
          <w:b/>
          <w:color w:val="2E3192"/>
          <w:highlight w:val="yellow"/>
        </w:rPr>
        <w:fldChar w:fldCharType="separate"/>
      </w:r>
      <w:r w:rsidR="00D73877" w:rsidRPr="009D7695">
        <w:rPr>
          <w:rStyle w:val="Hypertextovodkaz"/>
          <w:rFonts w:cstheme="minorHAnsi"/>
          <w:b/>
          <w:color w:val="2E3192"/>
          <w:highlight w:val="yellow"/>
        </w:rPr>
        <w:fldChar w:fldCharType="end"/>
      </w:r>
    </w:p>
    <w:p w14:paraId="7603C901" w14:textId="77777777" w:rsidR="00D73877" w:rsidRPr="00D73877" w:rsidRDefault="00D73877" w:rsidP="00D73877">
      <w:pPr>
        <w:tabs>
          <w:tab w:val="right" w:leader="dot" w:pos="10206"/>
        </w:tabs>
      </w:pPr>
    </w:p>
    <w:p w14:paraId="3FCD7ECD" w14:textId="77777777" w:rsidR="0046149B" w:rsidRPr="00F15ADB" w:rsidRDefault="0046149B" w:rsidP="006559F6">
      <w:pPr>
        <w:pStyle w:val="Nadpis1"/>
        <w:pageBreakBefore w:val="0"/>
        <w:numPr>
          <w:ilvl w:val="0"/>
          <w:numId w:val="0"/>
        </w:numPr>
        <w:ind w:left="431" w:hanging="431"/>
      </w:pPr>
      <w:bookmarkStart w:id="172" w:name="_Toc213759003"/>
      <w:r w:rsidRPr="00F15ADB">
        <w:t>Seznam příloh</w:t>
      </w:r>
      <w:bookmarkEnd w:id="172"/>
    </w:p>
    <w:p w14:paraId="6EE8A8B1" w14:textId="07140E81" w:rsidR="00EB3125" w:rsidRDefault="002C458E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r w:rsidRPr="009D7695">
        <w:rPr>
          <w:rStyle w:val="Hypertextovodkaz"/>
          <w:rFonts w:cstheme="minorHAnsi"/>
          <w:b/>
          <w:color w:val="2E3192"/>
          <w:highlight w:val="yellow"/>
        </w:rPr>
        <w:fldChar w:fldCharType="begin"/>
      </w:r>
      <w:r w:rsidR="0046149B" w:rsidRPr="009D7695">
        <w:rPr>
          <w:rStyle w:val="Hypertextovodkaz"/>
          <w:rFonts w:cstheme="minorHAnsi"/>
          <w:b/>
          <w:color w:val="2E3192"/>
          <w:highlight w:val="yellow"/>
        </w:rPr>
        <w:instrText xml:space="preserve"> TOC \h \z \t "Příloha" \c </w:instrText>
      </w:r>
      <w:r w:rsidRPr="009D7695">
        <w:rPr>
          <w:rStyle w:val="Hypertextovodkaz"/>
          <w:rFonts w:cstheme="minorHAnsi"/>
          <w:b/>
          <w:color w:val="2E3192"/>
          <w:highlight w:val="yellow"/>
        </w:rPr>
        <w:fldChar w:fldCharType="separate"/>
      </w:r>
      <w:hyperlink w:anchor="_Toc213758649" w:history="1">
        <w:r w:rsidR="00EB3125" w:rsidRPr="00646CD0">
          <w:rPr>
            <w:rStyle w:val="Hypertextovodkaz"/>
            <w:bCs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Příloha č. 1:</w:t>
        </w:r>
        <w:r w:rsidR="00EB3125"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="00EB3125" w:rsidRPr="00646CD0">
          <w:rPr>
            <w:rStyle w:val="Hypertextovodkaz"/>
            <w:noProof/>
          </w:rPr>
          <w:t>Historický vývoj sdílených daní</w:t>
        </w:r>
        <w:r w:rsidR="00EB3125">
          <w:rPr>
            <w:noProof/>
            <w:webHidden/>
          </w:rPr>
          <w:tab/>
        </w:r>
        <w:r w:rsidR="00EB3125">
          <w:rPr>
            <w:noProof/>
            <w:webHidden/>
          </w:rPr>
          <w:fldChar w:fldCharType="begin"/>
        </w:r>
        <w:r w:rsidR="00EB3125">
          <w:rPr>
            <w:noProof/>
            <w:webHidden/>
          </w:rPr>
          <w:instrText xml:space="preserve"> PAGEREF _Toc213758649 \h </w:instrText>
        </w:r>
        <w:r w:rsidR="00EB3125">
          <w:rPr>
            <w:noProof/>
            <w:webHidden/>
          </w:rPr>
        </w:r>
        <w:r w:rsidR="00EB3125">
          <w:rPr>
            <w:noProof/>
            <w:webHidden/>
          </w:rPr>
          <w:fldChar w:fldCharType="separate"/>
        </w:r>
        <w:r w:rsidR="00EB3125">
          <w:rPr>
            <w:noProof/>
            <w:webHidden/>
          </w:rPr>
          <w:t>42</w:t>
        </w:r>
        <w:r w:rsidR="00EB3125">
          <w:rPr>
            <w:noProof/>
            <w:webHidden/>
          </w:rPr>
          <w:fldChar w:fldCharType="end"/>
        </w:r>
      </w:hyperlink>
    </w:p>
    <w:p w14:paraId="6E9C8F2D" w14:textId="7700EF57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50" w:history="1">
        <w:r w:rsidRPr="00646CD0">
          <w:rPr>
            <w:rStyle w:val="Hypertextovodkaz"/>
            <w:bCs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Příloha č. 2: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646CD0">
          <w:rPr>
            <w:rStyle w:val="Hypertextovodkaz"/>
            <w:noProof/>
          </w:rPr>
          <w:t>Stupnice ekonomického hodnocení AQE (platná do 2020)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072D9B60" w14:textId="210F30D8" w:rsidR="00EB3125" w:rsidRDefault="00EB3125">
      <w:pPr>
        <w:pStyle w:val="Seznamobrzk"/>
        <w:rPr>
          <w:rFonts w:asciiTheme="minorHAnsi" w:hAnsiTheme="minorHAnsi"/>
          <w:noProof/>
          <w:sz w:val="22"/>
          <w:szCs w:val="22"/>
          <w:lang w:eastAsia="cs-CZ"/>
        </w:rPr>
      </w:pPr>
      <w:hyperlink w:anchor="_Toc213758651" w:history="1">
        <w:r w:rsidRPr="00646CD0">
          <w:rPr>
            <w:rStyle w:val="Hypertextovodkaz"/>
            <w:bCs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Příloha č. 3:</w:t>
        </w:r>
        <w:r>
          <w:rPr>
            <w:rFonts w:asciiTheme="minorHAnsi" w:hAnsiTheme="minorHAnsi"/>
            <w:noProof/>
            <w:sz w:val="22"/>
            <w:szCs w:val="22"/>
            <w:lang w:eastAsia="cs-CZ"/>
          </w:rPr>
          <w:tab/>
        </w:r>
        <w:r w:rsidRPr="00646CD0">
          <w:rPr>
            <w:rStyle w:val="Hypertextovodkaz"/>
            <w:noProof/>
          </w:rPr>
          <w:t>Stupnice ekonomického hodnocení AQE (platná od 2021)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_Toc213758651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448F327A" w14:textId="7BAE663F" w:rsidR="00D07CE6" w:rsidRDefault="002C458E" w:rsidP="002756A1">
      <w:pPr>
        <w:tabs>
          <w:tab w:val="right" w:leader="dot" w:pos="10206"/>
        </w:tabs>
        <w:rPr>
          <w:rStyle w:val="Hypertextovodkaz"/>
          <w:rFonts w:cstheme="minorHAnsi"/>
          <w:b/>
          <w:color w:val="2E3192"/>
          <w:highlight w:val="yellow"/>
        </w:rPr>
        <w:sectPr w:rsidR="00D07CE6" w:rsidSect="00D93300">
          <w:headerReference w:type="default" r:id="rId66"/>
          <w:pgSz w:w="11906" w:h="16838"/>
          <w:pgMar w:top="1417" w:right="849" w:bottom="1236" w:left="851" w:header="709" w:footer="280" w:gutter="0"/>
          <w:cols w:space="708"/>
          <w:docGrid w:linePitch="360"/>
        </w:sectPr>
      </w:pPr>
      <w:r w:rsidRPr="009D7695">
        <w:rPr>
          <w:rStyle w:val="Hypertextovodkaz"/>
          <w:rFonts w:cstheme="minorHAnsi"/>
          <w:b/>
          <w:color w:val="2E3192"/>
          <w:highlight w:val="yellow"/>
        </w:rPr>
        <w:fldChar w:fldCharType="end"/>
      </w:r>
    </w:p>
    <w:p w14:paraId="44903C80" w14:textId="00C6E7E7" w:rsidR="00AA37F7" w:rsidRDefault="003D0E38" w:rsidP="009F3584">
      <w:pPr>
        <w:pStyle w:val="Ploha"/>
      </w:pPr>
      <w:bookmarkStart w:id="173" w:name="_Toc293671796"/>
      <w:bookmarkStart w:id="174" w:name="_Toc62211732"/>
      <w:bookmarkStart w:id="175" w:name="_Toc213758649"/>
      <w:bookmarkEnd w:id="169"/>
      <w:bookmarkEnd w:id="170"/>
      <w:r w:rsidRPr="003D0E38">
        <w:lastRenderedPageBreak/>
        <w:t>Historický vývoj sdílených daní</w:t>
      </w:r>
      <w:bookmarkEnd w:id="173"/>
      <w:bookmarkEnd w:id="174"/>
      <w:bookmarkEnd w:id="175"/>
    </w:p>
    <w:p w14:paraId="6FAF1EF9" w14:textId="1D28EB5A" w:rsidR="003D0E38" w:rsidRDefault="003D0E38" w:rsidP="003D0E38">
      <w:r>
        <w:t xml:space="preserve">Vývoj hodnot sdílených daní je ovlivňován jak změnami v zákoně o Rozpočtovém určení daní (RUD), tak aktuálním vývojem ekonomické situace. V roce 2017 došlo ke zrušení inkasa 30 % z </w:t>
      </w:r>
      <w:proofErr w:type="spellStart"/>
      <w:r>
        <w:t>DPFOosvč</w:t>
      </w:r>
      <w:proofErr w:type="spellEnd"/>
      <w:r>
        <w:t xml:space="preserve"> a zároveň jako kompenzace byl navýšen podíl obcí na DPH z 20,43 % na 21,4 %, aby hned v následujícím roce byl tento podíl navýšen na 23,58 % a ještě byla v rámci výpočtu zvýrazněna váha kritéria počtu žáků ze 7 % na 9 % (došlo tím ke snížení váhy počtu obyvatel). V roce 2021 došlo k opětovné změně zákona v důsledku přijetí tzv. daňového balíčku, který zrušil superhrubou mzdu. Tento výpadek je řešen zvýšením podílu ÚSC z 23,58 % na 25,84 % na přerozdělování celorepublikového inkasa u všech položek sdílených daní.</w:t>
      </w:r>
    </w:p>
    <w:p w14:paraId="7DB63AF1" w14:textId="5FB88755" w:rsidR="003D0E38" w:rsidRPr="00B00BA5" w:rsidRDefault="00C83F6A" w:rsidP="003D0E38">
      <w:pPr>
        <w:rPr>
          <w:color w:val="FF0000"/>
        </w:rPr>
      </w:pPr>
      <w:r w:rsidRPr="00C83F6A">
        <w:t xml:space="preserve">„Výměnou“ za zvýšení daně z nemovitých věcí a její automatickou valorizaci v následujících letech </w:t>
      </w:r>
      <w:r w:rsidR="00EB3125">
        <w:t>konsolidační</w:t>
      </w:r>
      <w:r w:rsidRPr="00C83F6A">
        <w:t xml:space="preserve"> balíček snižuje hodnoty jednotlivých sdílených daní, vyjma motivační části DPFO placená plátci (1,5 %). V roce 2024 se tak podíl ÚSC u dotčených položek sdílených daní snižuje na 24,92 % a od roku 2025 pak na 24,16 %. Se změnou financování nepedagogických pracovníků ze státu na zřizovatele školských zařízení dochází v roce 2026 na navýšení podílu sdílených daní u ÚSC na </w:t>
      </w:r>
      <w:proofErr w:type="gramStart"/>
      <w:r w:rsidRPr="00C83F6A">
        <w:t>25,93%</w:t>
      </w:r>
      <w:proofErr w:type="gramEnd"/>
      <w:r w:rsidRPr="00C83F6A">
        <w:t>.</w:t>
      </w:r>
      <w:r w:rsidR="003D0E38" w:rsidRPr="00B00BA5">
        <w:rPr>
          <w:color w:val="FF0000"/>
        </w:rPr>
        <w:t xml:space="preserve"> </w:t>
      </w:r>
    </w:p>
    <w:p w14:paraId="252E89FF" w14:textId="2B05F44E" w:rsidR="00B00BA5" w:rsidRDefault="00B00BA5" w:rsidP="00B00BA5">
      <w:pPr>
        <w:jc w:val="left"/>
        <w:rPr>
          <w:b/>
          <w:bCs/>
        </w:rPr>
      </w:pPr>
      <w:r>
        <w:rPr>
          <w:b/>
          <w:bCs/>
        </w:rPr>
        <w:t>S</w:t>
      </w:r>
      <w:r w:rsidRPr="00B80AA0">
        <w:rPr>
          <w:b/>
          <w:bCs/>
        </w:rPr>
        <w:t>chéma rozpočtového určení daní</w:t>
      </w:r>
    </w:p>
    <w:p w14:paraId="6B58CB30" w14:textId="7AD7CA84" w:rsidR="00B00BA5" w:rsidRPr="00B80AA0" w:rsidRDefault="00201EF2" w:rsidP="00B00BA5">
      <w:pPr>
        <w:jc w:val="left"/>
        <w:rPr>
          <w:b/>
          <w:bCs/>
        </w:rPr>
      </w:pPr>
      <w:r w:rsidRPr="00201EF2">
        <w:rPr>
          <w:noProof/>
        </w:rPr>
        <w:drawing>
          <wp:inline distT="0" distB="0" distL="0" distR="0" wp14:anchorId="006FB5D7" wp14:editId="57F98162">
            <wp:extent cx="6480810" cy="2776220"/>
            <wp:effectExtent l="0" t="0" r="0" b="5080"/>
            <wp:docPr id="1551902439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9BADD" w14:textId="0D7F35BB" w:rsidR="003D0E38" w:rsidRDefault="003D0E38" w:rsidP="003D0E38">
      <w:r>
        <w:t xml:space="preserve">Celosvětová pandemie Covid 19 vyvolala nutnost kompenzovat výpadky v postižených oblastech hospodářství. Negativní dopady restriktivních opatření na hodnoty sdílených daní (na položku 1111 – </w:t>
      </w:r>
      <w:proofErr w:type="spellStart"/>
      <w:r>
        <w:t>DPFOzč</w:t>
      </w:r>
      <w:proofErr w:type="spellEnd"/>
      <w:r>
        <w:t>) byly ÚSC kompenzovány tzv. kompenzačním bonusem. Ten v roce 2020 činil 1 250 Kč na obyvatele a v roce 2021 byl stanoven ve výši 80 % jejich podílu na výplatách kompenzačního bonusu. Příspěvek byl mezi ÚSC rozdělen podle procentních podílů v rámci RUD.</w:t>
      </w:r>
    </w:p>
    <w:p w14:paraId="225CD6E4" w14:textId="484D6606" w:rsidR="003D0E38" w:rsidRPr="00581547" w:rsidRDefault="003D0E38" w:rsidP="003D0E38">
      <w:r>
        <w:t>V kontextu výše zmíněného vývoje příjmů ze sdílených daní je třeba připomenout další historické okolnosti, které ovlivňovaly příjmovou i výdajovou stranu rozpočtu. V roce 2003 to byl vznik obcí s pověřeným obecním úřadem a obcí s přenesenou působností. V roce 2005 přešlo financování školství mimo rozpočty ÚSC. V roce 2009 zasáhla hospodaření municipalit celosvětová finanční krize, která byla citelná i v následujícím roce. Prozatím poslední velká změna čekala na municipality v roce 2012, kdy výplata sociálních dávek přešla na úřady práce.</w:t>
      </w:r>
    </w:p>
    <w:p w14:paraId="0F97A7F1" w14:textId="77777777" w:rsidR="00581547" w:rsidRPr="00581547" w:rsidRDefault="00581547" w:rsidP="00581547">
      <w:pPr>
        <w:pStyle w:val="Ploha"/>
      </w:pPr>
      <w:bookmarkStart w:id="176" w:name="_Toc213758650"/>
      <w:r w:rsidRPr="00581547">
        <w:lastRenderedPageBreak/>
        <w:t>Stupnice ekonomického hodnocení AQE (platná do 2020)</w:t>
      </w:r>
      <w:bookmarkEnd w:id="176"/>
    </w:p>
    <w:p w14:paraId="6C6DCD98" w14:textId="6FED8FF8" w:rsidR="00AA37F7" w:rsidRPr="00F15ADB" w:rsidRDefault="00AA37F7" w:rsidP="00AA37F7">
      <w:pPr>
        <w:pStyle w:val="altNadpis3"/>
      </w:pPr>
      <w:r w:rsidRPr="00F15ADB">
        <w:t>Krátkodobé hodnocení</w:t>
      </w:r>
    </w:p>
    <w:tbl>
      <w:tblPr>
        <w:tblW w:w="7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7"/>
        <w:gridCol w:w="7105"/>
      </w:tblGrid>
      <w:tr w:rsidR="003A0F89" w:rsidRPr="00F15ADB" w14:paraId="3C5CA1BE" w14:textId="77777777" w:rsidTr="003A0F89">
        <w:trPr>
          <w:trHeight w:hRule="exact" w:val="510"/>
          <w:jc w:val="center"/>
        </w:trPr>
        <w:tc>
          <w:tcPr>
            <w:tcW w:w="609" w:type="dxa"/>
            <w:noWrap/>
            <w:vAlign w:val="bottom"/>
            <w:hideMark/>
          </w:tcPr>
          <w:p w14:paraId="1C99956B" w14:textId="77777777" w:rsidR="003A0F89" w:rsidRPr="00F15ADB" w:rsidRDefault="003A0F89" w:rsidP="009F3584">
            <w:pPr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STR1</w:t>
            </w:r>
          </w:p>
        </w:tc>
        <w:tc>
          <w:tcPr>
            <w:tcW w:w="7105" w:type="dxa"/>
            <w:noWrap/>
            <w:vAlign w:val="bottom"/>
            <w:hideMark/>
          </w:tcPr>
          <w:p w14:paraId="4B05E630" w14:textId="77777777" w:rsidR="003A0F89" w:rsidRPr="00F15ADB" w:rsidRDefault="003A0F89" w:rsidP="009F3584">
            <w:pPr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Výborné subjekty v plnění svých závazků v krátkém časovém horizontu</w:t>
            </w:r>
          </w:p>
        </w:tc>
      </w:tr>
      <w:tr w:rsidR="003A0F89" w:rsidRPr="00F15ADB" w14:paraId="79F018E5" w14:textId="77777777" w:rsidTr="003A0F89">
        <w:trPr>
          <w:trHeight w:hRule="exact" w:val="510"/>
          <w:jc w:val="center"/>
        </w:trPr>
        <w:tc>
          <w:tcPr>
            <w:tcW w:w="609" w:type="dxa"/>
            <w:noWrap/>
            <w:vAlign w:val="bottom"/>
            <w:hideMark/>
          </w:tcPr>
          <w:p w14:paraId="48B5DBDA" w14:textId="77777777" w:rsidR="003A0F89" w:rsidRPr="00F15ADB" w:rsidRDefault="003A0F89" w:rsidP="009F3584">
            <w:pPr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STR2</w:t>
            </w:r>
          </w:p>
        </w:tc>
        <w:tc>
          <w:tcPr>
            <w:tcW w:w="7105" w:type="dxa"/>
            <w:noWrap/>
            <w:vAlign w:val="bottom"/>
            <w:hideMark/>
          </w:tcPr>
          <w:p w14:paraId="03C00E45" w14:textId="77777777" w:rsidR="003A0F89" w:rsidRPr="00F15ADB" w:rsidRDefault="003A0F89" w:rsidP="009F3584">
            <w:pPr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Kvalitní subjekty s dobrou schopností splácet své aktuální závazky</w:t>
            </w:r>
          </w:p>
        </w:tc>
      </w:tr>
      <w:tr w:rsidR="003A0F89" w:rsidRPr="00F15ADB" w14:paraId="577381A2" w14:textId="77777777" w:rsidTr="003A0F89">
        <w:trPr>
          <w:trHeight w:hRule="exact" w:val="510"/>
          <w:jc w:val="center"/>
        </w:trPr>
        <w:tc>
          <w:tcPr>
            <w:tcW w:w="609" w:type="dxa"/>
            <w:noWrap/>
            <w:vAlign w:val="bottom"/>
            <w:hideMark/>
          </w:tcPr>
          <w:p w14:paraId="0AF8135D" w14:textId="77777777" w:rsidR="003A0F89" w:rsidRPr="00F15ADB" w:rsidRDefault="003A0F89" w:rsidP="009F3584">
            <w:pPr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STR3</w:t>
            </w:r>
          </w:p>
        </w:tc>
        <w:tc>
          <w:tcPr>
            <w:tcW w:w="7105" w:type="dxa"/>
            <w:noWrap/>
            <w:vAlign w:val="bottom"/>
            <w:hideMark/>
          </w:tcPr>
          <w:p w14:paraId="6A0B8829" w14:textId="77777777" w:rsidR="003A0F89" w:rsidRPr="00F15ADB" w:rsidRDefault="003A0F89" w:rsidP="009F3584">
            <w:pPr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Vyhovující subjekty dostát svým závazkům včas</w:t>
            </w:r>
          </w:p>
        </w:tc>
      </w:tr>
      <w:tr w:rsidR="003A0F89" w:rsidRPr="00F15ADB" w14:paraId="50A99611" w14:textId="77777777" w:rsidTr="003A0F89">
        <w:trPr>
          <w:trHeight w:hRule="exact" w:val="510"/>
          <w:jc w:val="center"/>
        </w:trPr>
        <w:tc>
          <w:tcPr>
            <w:tcW w:w="609" w:type="dxa"/>
            <w:noWrap/>
            <w:vAlign w:val="bottom"/>
            <w:hideMark/>
          </w:tcPr>
          <w:p w14:paraId="0540FD8B" w14:textId="77777777" w:rsidR="003A0F89" w:rsidRPr="00F15ADB" w:rsidRDefault="003A0F89" w:rsidP="009F3584">
            <w:pPr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STR4</w:t>
            </w:r>
          </w:p>
        </w:tc>
        <w:tc>
          <w:tcPr>
            <w:tcW w:w="7105" w:type="dxa"/>
            <w:noWrap/>
            <w:vAlign w:val="bottom"/>
            <w:hideMark/>
          </w:tcPr>
          <w:p w14:paraId="294B813C" w14:textId="77777777" w:rsidR="003A0F89" w:rsidRPr="00F15ADB" w:rsidRDefault="003A0F89" w:rsidP="009F3584">
            <w:pPr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Sporné subjekty s rizikem plnění svých závazků v termínu</w:t>
            </w:r>
          </w:p>
        </w:tc>
      </w:tr>
      <w:tr w:rsidR="003A0F89" w:rsidRPr="00F15ADB" w14:paraId="4356480E" w14:textId="77777777" w:rsidTr="003A0F89">
        <w:trPr>
          <w:trHeight w:hRule="exact" w:val="510"/>
          <w:jc w:val="center"/>
        </w:trPr>
        <w:tc>
          <w:tcPr>
            <w:tcW w:w="609" w:type="dxa"/>
            <w:noWrap/>
            <w:vAlign w:val="bottom"/>
            <w:hideMark/>
          </w:tcPr>
          <w:p w14:paraId="14EED7A8" w14:textId="77777777" w:rsidR="003A0F89" w:rsidRPr="00F15ADB" w:rsidRDefault="003A0F89" w:rsidP="009F3584">
            <w:pPr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STR5</w:t>
            </w:r>
          </w:p>
        </w:tc>
        <w:tc>
          <w:tcPr>
            <w:tcW w:w="7105" w:type="dxa"/>
            <w:noWrap/>
            <w:vAlign w:val="bottom"/>
            <w:hideMark/>
          </w:tcPr>
          <w:p w14:paraId="29D3F477" w14:textId="77777777" w:rsidR="003A0F89" w:rsidRPr="00F15ADB" w:rsidRDefault="003A0F89" w:rsidP="009F3584">
            <w:pPr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Nevhodné subjekty neschopné plnit své i krátkodobé závazky</w:t>
            </w:r>
          </w:p>
        </w:tc>
      </w:tr>
    </w:tbl>
    <w:p w14:paraId="57A1EAFC" w14:textId="77777777" w:rsidR="00AA37F7" w:rsidRDefault="00AA37F7" w:rsidP="00AA37F7">
      <w:pPr>
        <w:pStyle w:val="altNadpis3"/>
      </w:pPr>
      <w:r w:rsidRPr="00F15ADB">
        <w:t>Dlouhodobé hodnocení</w:t>
      </w:r>
    </w:p>
    <w:tbl>
      <w:tblPr>
        <w:tblW w:w="7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7173"/>
      </w:tblGrid>
      <w:tr w:rsidR="003A0F89" w:rsidRPr="00F15ADB" w14:paraId="76D3BA0D" w14:textId="77777777" w:rsidTr="002C1EB7">
        <w:trPr>
          <w:trHeight w:hRule="exact" w:val="794"/>
          <w:jc w:val="center"/>
        </w:trPr>
        <w:tc>
          <w:tcPr>
            <w:tcW w:w="549" w:type="dxa"/>
            <w:noWrap/>
            <w:vAlign w:val="center"/>
            <w:hideMark/>
          </w:tcPr>
          <w:p w14:paraId="4E602D16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A</w:t>
            </w:r>
          </w:p>
        </w:tc>
        <w:tc>
          <w:tcPr>
            <w:tcW w:w="7173" w:type="dxa"/>
            <w:noWrap/>
            <w:vAlign w:val="center"/>
            <w:hideMark/>
          </w:tcPr>
          <w:p w14:paraId="5AAE9695" w14:textId="77777777" w:rsidR="003A0F89" w:rsidRPr="00F15ADB" w:rsidRDefault="003A0F89" w:rsidP="002C1EB7">
            <w:pPr>
              <w:spacing w:before="0" w:after="0" w:line="240" w:lineRule="auto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výborné subjekty, bez rizika a s vynikající schopností splácet své závazky</w:t>
            </w:r>
          </w:p>
        </w:tc>
      </w:tr>
      <w:tr w:rsidR="003A0F89" w:rsidRPr="00F15ADB" w14:paraId="42FF7952" w14:textId="77777777" w:rsidTr="002C1EB7">
        <w:trPr>
          <w:trHeight w:hRule="exact" w:val="794"/>
          <w:jc w:val="center"/>
        </w:trPr>
        <w:tc>
          <w:tcPr>
            <w:tcW w:w="549" w:type="dxa"/>
            <w:noWrap/>
            <w:vAlign w:val="center"/>
            <w:hideMark/>
          </w:tcPr>
          <w:p w14:paraId="33958274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A1+</w:t>
            </w:r>
          </w:p>
          <w:p w14:paraId="09BA6E31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A1-</w:t>
            </w:r>
          </w:p>
        </w:tc>
        <w:tc>
          <w:tcPr>
            <w:tcW w:w="7173" w:type="dxa"/>
            <w:noWrap/>
            <w:vAlign w:val="center"/>
            <w:hideMark/>
          </w:tcPr>
          <w:p w14:paraId="5021FD4E" w14:textId="77777777" w:rsidR="003A0F89" w:rsidRPr="00F15ADB" w:rsidRDefault="003A0F89" w:rsidP="002C1EB7">
            <w:pPr>
              <w:spacing w:before="0" w:after="0" w:line="240" w:lineRule="auto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velmi dobré subjekty, s výbornou schopností splácet své závazky, s očekávanou stabilní budoucností</w:t>
            </w:r>
          </w:p>
        </w:tc>
      </w:tr>
      <w:tr w:rsidR="003A0F89" w:rsidRPr="00F15ADB" w14:paraId="6DDD6DB1" w14:textId="77777777" w:rsidTr="002C1EB7">
        <w:trPr>
          <w:trHeight w:hRule="exact" w:val="794"/>
          <w:jc w:val="center"/>
        </w:trPr>
        <w:tc>
          <w:tcPr>
            <w:tcW w:w="549" w:type="dxa"/>
            <w:noWrap/>
            <w:vAlign w:val="center"/>
            <w:hideMark/>
          </w:tcPr>
          <w:p w14:paraId="5DDE0C6A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A2+</w:t>
            </w:r>
          </w:p>
          <w:p w14:paraId="2A8F1F3E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A2-</w:t>
            </w:r>
          </w:p>
        </w:tc>
        <w:tc>
          <w:tcPr>
            <w:tcW w:w="7173" w:type="dxa"/>
            <w:noWrap/>
            <w:vAlign w:val="center"/>
            <w:hideMark/>
          </w:tcPr>
          <w:p w14:paraId="4FAE541B" w14:textId="77777777" w:rsidR="003A0F89" w:rsidRPr="00F15ADB" w:rsidRDefault="003A0F89" w:rsidP="002C1EB7">
            <w:pPr>
              <w:spacing w:before="0" w:after="0" w:line="240" w:lineRule="auto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dobré (kvalitní) subjekty, s velmi dobrou schopností splácet své závazky, doporučeno sledovat budoucí riziko v delším časovém horizontu</w:t>
            </w:r>
          </w:p>
        </w:tc>
      </w:tr>
      <w:tr w:rsidR="003A0F89" w:rsidRPr="00F15ADB" w14:paraId="6546C725" w14:textId="77777777" w:rsidTr="002C1EB7">
        <w:trPr>
          <w:trHeight w:hRule="exact" w:val="794"/>
          <w:jc w:val="center"/>
        </w:trPr>
        <w:tc>
          <w:tcPr>
            <w:tcW w:w="549" w:type="dxa"/>
            <w:noWrap/>
            <w:vAlign w:val="center"/>
            <w:hideMark/>
          </w:tcPr>
          <w:p w14:paraId="62C60FFE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B+</w:t>
            </w:r>
          </w:p>
          <w:p w14:paraId="6360644E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B-</w:t>
            </w:r>
          </w:p>
        </w:tc>
        <w:tc>
          <w:tcPr>
            <w:tcW w:w="7173" w:type="dxa"/>
            <w:noWrap/>
            <w:vAlign w:val="center"/>
            <w:hideMark/>
          </w:tcPr>
          <w:p w14:paraId="03F4E6CC" w14:textId="77777777" w:rsidR="003A0F89" w:rsidRPr="00F15ADB" w:rsidRDefault="003A0F89" w:rsidP="002C1EB7">
            <w:pPr>
              <w:spacing w:before="0" w:after="0" w:line="240" w:lineRule="auto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přijatelné (bonitní) subjekty, s dobrou schopností splácet své závazky, doporučeno sledovat budoucí riziko již ve středním časovém horizontu</w:t>
            </w:r>
          </w:p>
        </w:tc>
      </w:tr>
      <w:tr w:rsidR="003A0F89" w:rsidRPr="00F15ADB" w14:paraId="4FBCBF0E" w14:textId="77777777" w:rsidTr="002C1EB7">
        <w:trPr>
          <w:trHeight w:hRule="exact" w:val="794"/>
          <w:jc w:val="center"/>
        </w:trPr>
        <w:tc>
          <w:tcPr>
            <w:tcW w:w="549" w:type="dxa"/>
            <w:noWrap/>
            <w:vAlign w:val="center"/>
            <w:hideMark/>
          </w:tcPr>
          <w:p w14:paraId="6752C8A1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B1+</w:t>
            </w:r>
          </w:p>
          <w:p w14:paraId="6DE7C1CB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B1-</w:t>
            </w:r>
          </w:p>
        </w:tc>
        <w:tc>
          <w:tcPr>
            <w:tcW w:w="7173" w:type="dxa"/>
            <w:noWrap/>
            <w:vAlign w:val="center"/>
            <w:hideMark/>
          </w:tcPr>
          <w:p w14:paraId="6F028BDE" w14:textId="77777777" w:rsidR="003A0F89" w:rsidRPr="00F15ADB" w:rsidRDefault="003A0F89" w:rsidP="002C1EB7">
            <w:pPr>
              <w:spacing w:before="0" w:after="0" w:line="240" w:lineRule="auto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vyhovující (uspokojivé) subjekty, s dostatečnou schopností splácet své aktuální závazky, s nejistým budoucím rizikem již v krátkém časovém horizontu</w:t>
            </w:r>
          </w:p>
        </w:tc>
      </w:tr>
      <w:tr w:rsidR="003A0F89" w:rsidRPr="00F15ADB" w14:paraId="5F936243" w14:textId="77777777" w:rsidTr="002C1EB7">
        <w:trPr>
          <w:trHeight w:hRule="exact" w:val="794"/>
          <w:jc w:val="center"/>
        </w:trPr>
        <w:tc>
          <w:tcPr>
            <w:tcW w:w="549" w:type="dxa"/>
            <w:noWrap/>
            <w:vAlign w:val="center"/>
            <w:hideMark/>
          </w:tcPr>
          <w:p w14:paraId="16FA5C39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B2+</w:t>
            </w:r>
          </w:p>
          <w:p w14:paraId="1DB0ABE9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B2-</w:t>
            </w:r>
          </w:p>
        </w:tc>
        <w:tc>
          <w:tcPr>
            <w:tcW w:w="7173" w:type="dxa"/>
            <w:noWrap/>
            <w:vAlign w:val="center"/>
            <w:hideMark/>
          </w:tcPr>
          <w:p w14:paraId="1DBFBBC6" w14:textId="77777777" w:rsidR="003A0F89" w:rsidRPr="00F15ADB" w:rsidRDefault="003A0F89" w:rsidP="002C1EB7">
            <w:pPr>
              <w:spacing w:before="0" w:after="0" w:line="240" w:lineRule="auto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průměrné subjekty schopné splácet své aktuální závazky, s problematickou budoucností</w:t>
            </w:r>
          </w:p>
        </w:tc>
      </w:tr>
      <w:tr w:rsidR="003A0F89" w:rsidRPr="00F15ADB" w14:paraId="09A21A64" w14:textId="77777777" w:rsidTr="002C1EB7">
        <w:trPr>
          <w:trHeight w:hRule="exact" w:val="794"/>
          <w:jc w:val="center"/>
        </w:trPr>
        <w:tc>
          <w:tcPr>
            <w:tcW w:w="549" w:type="dxa"/>
            <w:noWrap/>
            <w:vAlign w:val="center"/>
            <w:hideMark/>
          </w:tcPr>
          <w:p w14:paraId="342D7B2F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B3+</w:t>
            </w:r>
          </w:p>
          <w:p w14:paraId="4FDB818E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B3-</w:t>
            </w:r>
          </w:p>
        </w:tc>
        <w:tc>
          <w:tcPr>
            <w:tcW w:w="7173" w:type="dxa"/>
            <w:noWrap/>
            <w:vAlign w:val="center"/>
            <w:hideMark/>
          </w:tcPr>
          <w:p w14:paraId="3306095E" w14:textId="77777777" w:rsidR="003A0F89" w:rsidRPr="00F15ADB" w:rsidRDefault="003A0F89" w:rsidP="002C1EB7">
            <w:pPr>
              <w:spacing w:before="0" w:after="0" w:line="240" w:lineRule="auto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podprůměrné subjekty s poměrně rizikovou schopností splácet své závazky, s rizikovou budoucností</w:t>
            </w:r>
          </w:p>
        </w:tc>
      </w:tr>
      <w:tr w:rsidR="003A0F89" w:rsidRPr="00F15ADB" w14:paraId="6628B441" w14:textId="77777777" w:rsidTr="002C1EB7">
        <w:trPr>
          <w:trHeight w:hRule="exact" w:val="794"/>
          <w:jc w:val="center"/>
        </w:trPr>
        <w:tc>
          <w:tcPr>
            <w:tcW w:w="549" w:type="dxa"/>
            <w:noWrap/>
            <w:vAlign w:val="center"/>
            <w:hideMark/>
          </w:tcPr>
          <w:p w14:paraId="2ADB2D7F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C+</w:t>
            </w:r>
          </w:p>
          <w:p w14:paraId="356D1955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C-</w:t>
            </w:r>
          </w:p>
        </w:tc>
        <w:tc>
          <w:tcPr>
            <w:tcW w:w="7173" w:type="dxa"/>
            <w:noWrap/>
            <w:vAlign w:val="center"/>
            <w:hideMark/>
          </w:tcPr>
          <w:p w14:paraId="3571B48F" w14:textId="77777777" w:rsidR="003A0F89" w:rsidRPr="00F15ADB" w:rsidRDefault="003A0F89" w:rsidP="002C1EB7">
            <w:pPr>
              <w:spacing w:before="0" w:after="0" w:line="240" w:lineRule="auto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sporný (spekulativní) subjekty s nejistou schopností splácet své závazky, se značně rizikovou budoucností</w:t>
            </w:r>
          </w:p>
        </w:tc>
      </w:tr>
      <w:tr w:rsidR="003A0F89" w:rsidRPr="00F15ADB" w14:paraId="1FE5E550" w14:textId="77777777" w:rsidTr="002C1EB7">
        <w:trPr>
          <w:trHeight w:hRule="exact" w:val="794"/>
          <w:jc w:val="center"/>
        </w:trPr>
        <w:tc>
          <w:tcPr>
            <w:tcW w:w="549" w:type="dxa"/>
            <w:noWrap/>
            <w:vAlign w:val="center"/>
            <w:hideMark/>
          </w:tcPr>
          <w:p w14:paraId="42980771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C1+</w:t>
            </w:r>
          </w:p>
          <w:p w14:paraId="5D624E1E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C1-</w:t>
            </w:r>
          </w:p>
        </w:tc>
        <w:tc>
          <w:tcPr>
            <w:tcW w:w="7173" w:type="dxa"/>
            <w:noWrap/>
            <w:vAlign w:val="center"/>
            <w:hideMark/>
          </w:tcPr>
          <w:p w14:paraId="1F5BCD76" w14:textId="77777777" w:rsidR="003A0F89" w:rsidRPr="00F15ADB" w:rsidRDefault="003A0F89" w:rsidP="002C1EB7">
            <w:pPr>
              <w:spacing w:before="0" w:after="0" w:line="240" w:lineRule="auto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nevhodné (rizikové) subjekty s nestabilní schopností splácet své závazky, s vysokým rizikem v budoucnu</w:t>
            </w:r>
          </w:p>
        </w:tc>
      </w:tr>
      <w:tr w:rsidR="003A0F89" w:rsidRPr="00F15ADB" w14:paraId="6ECCAD9E" w14:textId="77777777" w:rsidTr="002C1EB7">
        <w:trPr>
          <w:trHeight w:hRule="exact" w:val="794"/>
          <w:jc w:val="center"/>
        </w:trPr>
        <w:tc>
          <w:tcPr>
            <w:tcW w:w="549" w:type="dxa"/>
            <w:noWrap/>
            <w:vAlign w:val="center"/>
            <w:hideMark/>
          </w:tcPr>
          <w:p w14:paraId="519ADF71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C2+</w:t>
            </w:r>
          </w:p>
          <w:p w14:paraId="3D7AC06D" w14:textId="77777777" w:rsidR="003A0F89" w:rsidRPr="00F15ADB" w:rsidRDefault="003A0F89" w:rsidP="002C1EB7">
            <w:pPr>
              <w:spacing w:before="0" w:after="0" w:line="240" w:lineRule="auto"/>
              <w:jc w:val="left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C2-</w:t>
            </w:r>
          </w:p>
        </w:tc>
        <w:tc>
          <w:tcPr>
            <w:tcW w:w="7173" w:type="dxa"/>
            <w:noWrap/>
            <w:vAlign w:val="center"/>
            <w:hideMark/>
          </w:tcPr>
          <w:p w14:paraId="2934EF4A" w14:textId="77777777" w:rsidR="003A0F89" w:rsidRPr="00F15ADB" w:rsidRDefault="003A0F89" w:rsidP="002C1EB7">
            <w:pPr>
              <w:spacing w:before="0" w:after="0" w:line="240" w:lineRule="auto"/>
              <w:rPr>
                <w:rFonts w:eastAsia="Times New Roman"/>
              </w:rPr>
            </w:pPr>
            <w:r w:rsidRPr="00F15ADB">
              <w:rPr>
                <w:rFonts w:eastAsia="Times New Roman"/>
              </w:rPr>
              <w:t>nezpůsobilé (vysoce rizikové) subjekty s neschopností a neochotou splácet své závazky</w:t>
            </w:r>
          </w:p>
        </w:tc>
      </w:tr>
    </w:tbl>
    <w:p w14:paraId="7E94ADBD" w14:textId="77777777" w:rsidR="00B43EC9" w:rsidRPr="00F15ADB" w:rsidRDefault="00B43EC9" w:rsidP="00AA37F7">
      <w:pPr>
        <w:pStyle w:val="altNadpis3"/>
      </w:pPr>
    </w:p>
    <w:p w14:paraId="24720A9A" w14:textId="77777777" w:rsidR="00AA37F7" w:rsidRPr="00F15ADB" w:rsidRDefault="00AA37F7" w:rsidP="00531349">
      <w:pPr>
        <w:pStyle w:val="Ploha"/>
      </w:pPr>
      <w:bookmarkStart w:id="177" w:name="_Toc62211733"/>
      <w:bookmarkStart w:id="178" w:name="_Toc213758651"/>
      <w:r w:rsidRPr="00F15ADB">
        <w:lastRenderedPageBreak/>
        <w:t>Stupnice ekonomického hodnocení AQE</w:t>
      </w:r>
      <w:bookmarkEnd w:id="177"/>
      <w:r w:rsidR="003336FB" w:rsidRPr="00F15ADB">
        <w:t xml:space="preserve"> </w:t>
      </w:r>
      <w:r w:rsidR="003336FB" w:rsidRPr="00F15ADB">
        <w:rPr>
          <w:b w:val="0"/>
        </w:rPr>
        <w:t>(platná od 2021)</w:t>
      </w:r>
      <w:bookmarkEnd w:id="178"/>
    </w:p>
    <w:p w14:paraId="460D8897" w14:textId="692DCAFA" w:rsidR="00AA37F7" w:rsidRDefault="003A0F89" w:rsidP="00E16671">
      <w:pPr>
        <w:pStyle w:val="Objekt"/>
        <w:jc w:val="center"/>
      </w:pPr>
      <w:r w:rsidRPr="003A0F89">
        <w:rPr>
          <w:noProof/>
        </w:rPr>
        <w:drawing>
          <wp:inline distT="0" distB="0" distL="0" distR="0" wp14:anchorId="3231989B" wp14:editId="2C421769">
            <wp:extent cx="4896319" cy="3507347"/>
            <wp:effectExtent l="0" t="0" r="0" b="0"/>
            <wp:docPr id="180561119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019" cy="352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2B325" w14:textId="77777777" w:rsidR="003A0F89" w:rsidRPr="00F15ADB" w:rsidRDefault="003A0F89" w:rsidP="00E16671">
      <w:pPr>
        <w:pStyle w:val="Objekt"/>
        <w:jc w:val="center"/>
      </w:pPr>
    </w:p>
    <w:p w14:paraId="103DF01C" w14:textId="527D538B" w:rsidR="00AA37F7" w:rsidRPr="00C91F31" w:rsidRDefault="003A0F89" w:rsidP="00B51E38">
      <w:pPr>
        <w:pStyle w:val="Objekt"/>
        <w:jc w:val="center"/>
      </w:pPr>
      <w:r w:rsidRPr="003A0F89">
        <w:rPr>
          <w:noProof/>
        </w:rPr>
        <w:drawing>
          <wp:inline distT="0" distB="0" distL="0" distR="0" wp14:anchorId="25F2B5FF" wp14:editId="67F8DED1">
            <wp:extent cx="4914000" cy="1843200"/>
            <wp:effectExtent l="0" t="0" r="1270" b="5080"/>
            <wp:docPr id="434125109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0" cy="18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12130" w14:textId="77777777" w:rsidR="00EF408D" w:rsidRDefault="00EF408D">
      <w:pPr>
        <w:spacing w:before="0" w:after="200"/>
        <w:jc w:val="left"/>
      </w:pPr>
      <w:r>
        <w:br w:type="page"/>
      </w:r>
    </w:p>
    <w:p w14:paraId="7ED2FF0F" w14:textId="77777777" w:rsidR="00EF408D" w:rsidRDefault="00EF408D" w:rsidP="00EF408D">
      <w:pPr>
        <w:jc w:val="left"/>
      </w:pPr>
    </w:p>
    <w:p w14:paraId="7F8FCD5E" w14:textId="77777777" w:rsidR="00EF408D" w:rsidRDefault="00EF408D" w:rsidP="00EF408D">
      <w:pPr>
        <w:jc w:val="left"/>
      </w:pPr>
    </w:p>
    <w:p w14:paraId="4AC69725" w14:textId="77777777" w:rsidR="00EF408D" w:rsidRDefault="00EF408D" w:rsidP="00EF408D">
      <w:pPr>
        <w:jc w:val="left"/>
      </w:pPr>
      <w:r>
        <w:t>Zpracovatel:</w:t>
      </w:r>
      <w:r>
        <w:tab/>
      </w:r>
      <w:r>
        <w:tab/>
        <w:t xml:space="preserve">AQE </w:t>
      </w:r>
      <w:proofErr w:type="spellStart"/>
      <w:r>
        <w:t>advisors</w:t>
      </w:r>
      <w:proofErr w:type="spellEnd"/>
      <w:r>
        <w:t>, a.s.</w:t>
      </w:r>
      <w:r>
        <w:br/>
      </w:r>
      <w:r>
        <w:tab/>
      </w:r>
      <w:r>
        <w:tab/>
      </w:r>
      <w:r>
        <w:tab/>
        <w:t>třída Kapitána Jaroše 31</w:t>
      </w:r>
      <w:r>
        <w:br/>
      </w:r>
      <w:r>
        <w:tab/>
      </w:r>
      <w:r>
        <w:tab/>
      </w:r>
      <w:r>
        <w:tab/>
        <w:t>602 00 Brno</w:t>
      </w:r>
    </w:p>
    <w:p w14:paraId="3FA133FE" w14:textId="77777777" w:rsidR="00EF408D" w:rsidRDefault="00EF408D" w:rsidP="00EF408D">
      <w:pPr>
        <w:jc w:val="left"/>
      </w:pPr>
    </w:p>
    <w:p w14:paraId="2654710A" w14:textId="77777777" w:rsidR="00EF408D" w:rsidRDefault="00EF408D" w:rsidP="00EF408D">
      <w:pPr>
        <w:jc w:val="left"/>
      </w:pPr>
    </w:p>
    <w:p w14:paraId="10815757" w14:textId="77777777" w:rsidR="00EF408D" w:rsidRDefault="00EF408D" w:rsidP="00EF408D">
      <w:pPr>
        <w:jc w:val="left"/>
      </w:pPr>
    </w:p>
    <w:p w14:paraId="4D005BC1" w14:textId="77777777" w:rsidR="00EF408D" w:rsidRDefault="00EF408D" w:rsidP="00EF408D">
      <w:pPr>
        <w:jc w:val="left"/>
      </w:pPr>
      <w:r>
        <w:t>Zpracoval:</w:t>
      </w:r>
      <w:r>
        <w:tab/>
      </w:r>
      <w:r>
        <w:tab/>
        <w:t>Ing. Petr Kamínek</w:t>
      </w:r>
    </w:p>
    <w:p w14:paraId="21CCC8F7" w14:textId="77777777" w:rsidR="00CB2E70" w:rsidRDefault="00CB2E70" w:rsidP="00CB2E70">
      <w:pPr>
        <w:jc w:val="left"/>
      </w:pPr>
    </w:p>
    <w:p w14:paraId="48467B01" w14:textId="77777777" w:rsidR="00CB2E70" w:rsidRDefault="00CB2E70" w:rsidP="00CB2E70">
      <w:pPr>
        <w:jc w:val="left"/>
      </w:pPr>
    </w:p>
    <w:p w14:paraId="52E9B5F2" w14:textId="77777777" w:rsidR="00EF408D" w:rsidRDefault="00793D98" w:rsidP="00CB2E70">
      <w:pPr>
        <w:ind w:left="1418" w:firstLine="709"/>
        <w:jc w:val="left"/>
      </w:pPr>
      <w:r>
        <w:t>Mgr. Jan Eberhard</w:t>
      </w:r>
    </w:p>
    <w:p w14:paraId="6AF5E3EC" w14:textId="77777777" w:rsidR="00EF408D" w:rsidRDefault="00EF408D" w:rsidP="00EF408D">
      <w:pPr>
        <w:jc w:val="left"/>
      </w:pPr>
    </w:p>
    <w:p w14:paraId="7635BADC" w14:textId="77777777" w:rsidR="00EF408D" w:rsidRDefault="00EF408D" w:rsidP="00EF408D">
      <w:pPr>
        <w:jc w:val="left"/>
      </w:pPr>
    </w:p>
    <w:p w14:paraId="064E79F2" w14:textId="77777777" w:rsidR="00EF408D" w:rsidRDefault="00EF408D" w:rsidP="00EF408D">
      <w:pPr>
        <w:jc w:val="left"/>
      </w:pPr>
      <w:r>
        <w:t>Vedoucí projektu:</w:t>
      </w:r>
      <w:r>
        <w:tab/>
        <w:t>Ing. Jan Obrovský</w:t>
      </w:r>
    </w:p>
    <w:p w14:paraId="0BA8DB4F" w14:textId="77777777" w:rsidR="00EF408D" w:rsidRDefault="00EF408D" w:rsidP="00EF408D">
      <w:pPr>
        <w:jc w:val="left"/>
      </w:pPr>
    </w:p>
    <w:p w14:paraId="67F2277C" w14:textId="77777777" w:rsidR="00EF408D" w:rsidRDefault="00EF408D" w:rsidP="00EF408D">
      <w:pPr>
        <w:jc w:val="left"/>
      </w:pPr>
    </w:p>
    <w:p w14:paraId="4FE1AC51" w14:textId="77777777" w:rsidR="00EF408D" w:rsidRDefault="00EF408D" w:rsidP="00EF408D">
      <w:pPr>
        <w:jc w:val="left"/>
      </w:pPr>
    </w:p>
    <w:p w14:paraId="1F9C8B53" w14:textId="77777777" w:rsidR="00EF408D" w:rsidRDefault="00EF408D" w:rsidP="00EF408D">
      <w:pPr>
        <w:jc w:val="left"/>
      </w:pPr>
    </w:p>
    <w:p w14:paraId="5399B835" w14:textId="77777777" w:rsidR="00EF408D" w:rsidRDefault="00EF408D" w:rsidP="00EF408D">
      <w:pPr>
        <w:jc w:val="left"/>
      </w:pPr>
    </w:p>
    <w:p w14:paraId="4B3CA6EA" w14:textId="2FC9FFDE" w:rsidR="00EF408D" w:rsidRDefault="00EF408D" w:rsidP="00EF408D">
      <w:pPr>
        <w:jc w:val="left"/>
      </w:pPr>
      <w:r>
        <w:t xml:space="preserve">Brno </w:t>
      </w:r>
      <w:r w:rsidR="001E2303">
        <w:t>listopad 2025</w:t>
      </w:r>
    </w:p>
    <w:p w14:paraId="70DC3ACB" w14:textId="77777777" w:rsidR="00DD770D" w:rsidRDefault="00DD770D">
      <w:pPr>
        <w:spacing w:before="0" w:after="200"/>
        <w:jc w:val="left"/>
      </w:pPr>
    </w:p>
    <w:sectPr w:rsidR="00DD770D" w:rsidSect="00D93300">
      <w:pgSz w:w="11906" w:h="16838"/>
      <w:pgMar w:top="1417" w:right="849" w:bottom="1236" w:left="851" w:header="709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66400" w14:textId="77777777" w:rsidR="0084259D" w:rsidRDefault="0084259D" w:rsidP="00993408">
      <w:r>
        <w:separator/>
      </w:r>
    </w:p>
    <w:p w14:paraId="3427102B" w14:textId="77777777" w:rsidR="0084259D" w:rsidRDefault="0084259D" w:rsidP="00993408"/>
  </w:endnote>
  <w:endnote w:type="continuationSeparator" w:id="0">
    <w:p w14:paraId="06EC78FC" w14:textId="77777777" w:rsidR="0084259D" w:rsidRDefault="0084259D" w:rsidP="00993408">
      <w:r>
        <w:continuationSeparator/>
      </w:r>
    </w:p>
    <w:p w14:paraId="38EA0881" w14:textId="77777777" w:rsidR="0084259D" w:rsidRDefault="0084259D" w:rsidP="009934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 Pro">
    <w:altName w:val="Tahoma"/>
    <w:charset w:val="EE"/>
    <w:family w:val="swiss"/>
    <w:pitch w:val="variable"/>
    <w:sig w:usb0="80000287" w:usb1="00000043" w:usb2="00000000" w:usb3="00000000" w:csb0="0000009F" w:csb1="00000000"/>
  </w:font>
  <w:font w:name="SkolarSansPE-Rg">
    <w:altName w:val="Calibri"/>
    <w:charset w:val="EE"/>
    <w:family w:val="swiss"/>
    <w:pitch w:val="variable"/>
    <w:sig w:usb0="E00002CF" w:usb1="0000002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19C30" w14:textId="77777777" w:rsidR="0031735E" w:rsidRPr="00AE43AB" w:rsidRDefault="0031735E" w:rsidP="00C67305">
    <w:pPr>
      <w:pStyle w:val="Zpat"/>
      <w:jc w:val="right"/>
      <w:rPr>
        <w:szCs w:val="20"/>
      </w:rPr>
    </w:pPr>
    <w:r>
      <w:rPr>
        <w:noProof/>
      </w:rPr>
      <w:fldChar w:fldCharType="begin"/>
    </w:r>
    <w:r>
      <w:rPr>
        <w:noProof/>
      </w:rPr>
      <w:instrText xml:space="preserve"> PAGE  \* Arabic  \* MERGEFORMAT </w:instrText>
    </w:r>
    <w:r>
      <w:rPr>
        <w:noProof/>
      </w:rPr>
      <w:fldChar w:fldCharType="separate"/>
    </w:r>
    <w:r w:rsidR="000D3122">
      <w:rPr>
        <w:noProof/>
      </w:rPr>
      <w:t>27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66406" w14:textId="77777777" w:rsidR="0031735E" w:rsidRPr="00AE43AB" w:rsidRDefault="0031735E" w:rsidP="003137C1">
    <w:pPr>
      <w:pStyle w:val="Zpat"/>
      <w:jc w:val="right"/>
      <w:rPr>
        <w:szCs w:val="20"/>
      </w:rPr>
    </w:pPr>
  </w:p>
  <w:p w14:paraId="3C981CDC" w14:textId="77777777" w:rsidR="0031735E" w:rsidRDefault="0031735E">
    <w:pPr>
      <w:pStyle w:val="Zpat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38C82" w14:textId="77777777" w:rsidR="0084259D" w:rsidRDefault="0084259D" w:rsidP="00993408">
      <w:r>
        <w:separator/>
      </w:r>
    </w:p>
    <w:p w14:paraId="4F222334" w14:textId="77777777" w:rsidR="0084259D" w:rsidRDefault="0084259D" w:rsidP="00993408"/>
  </w:footnote>
  <w:footnote w:type="continuationSeparator" w:id="0">
    <w:p w14:paraId="75B31A72" w14:textId="77777777" w:rsidR="0084259D" w:rsidRDefault="0084259D" w:rsidP="00993408">
      <w:r>
        <w:continuationSeparator/>
      </w:r>
    </w:p>
    <w:p w14:paraId="730A836B" w14:textId="77777777" w:rsidR="0084259D" w:rsidRDefault="0084259D" w:rsidP="009934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B940C" w14:textId="77777777" w:rsidR="0031735E" w:rsidRPr="00C40C50" w:rsidRDefault="0031735E" w:rsidP="00483E44">
    <w:pPr>
      <w:pStyle w:val="Zhlav"/>
      <w:tabs>
        <w:tab w:val="clear" w:pos="4536"/>
        <w:tab w:val="clear" w:pos="9072"/>
        <w:tab w:val="left" w:pos="3271"/>
        <w:tab w:val="left" w:pos="9923"/>
      </w:tabs>
    </w:pPr>
    <w:r w:rsidRPr="00464232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4630097" wp14:editId="451A9EF6">
          <wp:simplePos x="0" y="0"/>
          <wp:positionH relativeFrom="column">
            <wp:posOffset>5860612</wp:posOffset>
          </wp:positionH>
          <wp:positionV relativeFrom="paragraph">
            <wp:posOffset>-144030</wp:posOffset>
          </wp:positionV>
          <wp:extent cx="568325" cy="554355"/>
          <wp:effectExtent l="0" t="0" r="3175" b="0"/>
          <wp:wrapNone/>
          <wp:docPr id="666496980" name="obrázek 12" descr="\\192.168.1.250\Firma\!___AQEacademy___!\AQE_Logotypy\AQE_Logotypy\AQE_advisors\JPG_300dpi\AQE-advisors_Logo-01_Positi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\\192.168.1.250\Firma\!___AQEacademy___!\AQE_Logotypy\AQE_Logotypy\AQE_advisors\JPG_300dpi\AQE-advisors_Logo-01_Positiv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91" t="13513" r="13396" b="14101"/>
                  <a:stretch>
                    <a:fillRect/>
                  </a:stretch>
                </pic:blipFill>
                <pic:spPr bwMode="auto">
                  <a:xfrm>
                    <a:off x="0" y="0"/>
                    <a:ext cx="56832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3C4E7" w14:textId="77777777" w:rsidR="0031735E" w:rsidRDefault="0031735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30B6D"/>
    <w:multiLevelType w:val="multilevel"/>
    <w:tmpl w:val="0405001D"/>
    <w:styleLink w:val="Plohy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19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6952E97"/>
    <w:multiLevelType w:val="multilevel"/>
    <w:tmpl w:val="08109782"/>
    <w:lvl w:ilvl="0">
      <w:start w:val="1"/>
      <w:numFmt w:val="decimal"/>
      <w:pStyle w:val="Kaskda"/>
      <w:lvlText w:val="%1."/>
      <w:lvlJc w:val="left"/>
      <w:pPr>
        <w:ind w:left="425" w:hanging="14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559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8623CF1"/>
    <w:multiLevelType w:val="multilevel"/>
    <w:tmpl w:val="F5EE2D3A"/>
    <w:lvl w:ilvl="0">
      <w:start w:val="1"/>
      <w:numFmt w:val="decimal"/>
      <w:pStyle w:val="Nadpis1"/>
      <w:lvlText w:val="%1"/>
      <w:lvlJc w:val="left"/>
      <w:pPr>
        <w:ind w:left="6953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288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CB93E6F"/>
    <w:multiLevelType w:val="multilevel"/>
    <w:tmpl w:val="B1F8297E"/>
    <w:styleLink w:val="Grafy"/>
    <w:lvl w:ilvl="0">
      <w:start w:val="1"/>
      <w:numFmt w:val="decimal"/>
      <w:lvlText w:val="Graf č. %1:"/>
      <w:lvlJc w:val="left"/>
      <w:pPr>
        <w:tabs>
          <w:tab w:val="num" w:pos="1134"/>
        </w:tabs>
        <w:ind w:left="0" w:firstLine="0"/>
      </w:pPr>
      <w:rPr>
        <w:rFonts w:ascii="Verdana" w:hAnsi="Verdana" w:hint="default"/>
        <w:color w:val="auto"/>
        <w:sz w:val="19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06228C9"/>
    <w:multiLevelType w:val="multilevel"/>
    <w:tmpl w:val="D5140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8F70F6"/>
    <w:multiLevelType w:val="multilevel"/>
    <w:tmpl w:val="9E827616"/>
    <w:lvl w:ilvl="0">
      <w:start w:val="1"/>
      <w:numFmt w:val="bullet"/>
      <w:lvlText w:val=""/>
      <w:lvlJc w:val="left"/>
      <w:pPr>
        <w:ind w:left="644" w:hanging="360"/>
      </w:pPr>
      <w:rPr>
        <w:rFonts w:ascii="Wingdings 2" w:hAnsi="Wingdings 2" w:hint="default"/>
        <w:color w:val="215868" w:themeColor="accent5" w:themeShade="80"/>
        <w:sz w:val="16"/>
        <w:szCs w:val="16"/>
        <w:u w:color="D52B1E"/>
      </w:rPr>
    </w:lvl>
    <w:lvl w:ilvl="1">
      <w:start w:val="1"/>
      <w:numFmt w:val="bullet"/>
      <w:lvlText w:val="-"/>
      <w:lvlJc w:val="left"/>
      <w:pPr>
        <w:ind w:left="1134" w:hanging="425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1559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6" w15:restartNumberingAfterBreak="0">
    <w:nsid w:val="145C42BE"/>
    <w:multiLevelType w:val="hybridMultilevel"/>
    <w:tmpl w:val="3ED0FAAC"/>
    <w:lvl w:ilvl="0" w:tplc="ABE020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3692C"/>
    <w:multiLevelType w:val="hybridMultilevel"/>
    <w:tmpl w:val="FD5C73FE"/>
    <w:lvl w:ilvl="0" w:tplc="35264F44">
      <w:start w:val="1"/>
      <w:numFmt w:val="bullet"/>
      <w:pStyle w:val="Odstavecseseznamem"/>
      <w:lvlText w:val="Â"/>
      <w:lvlJc w:val="left"/>
      <w:pPr>
        <w:ind w:left="4188" w:hanging="360"/>
      </w:pPr>
      <w:rPr>
        <w:rFonts w:ascii="Wingdings 2" w:hAnsi="Wingdings 2" w:hint="default"/>
        <w:color w:val="808080" w:themeColor="background1" w:themeShade="80"/>
      </w:rPr>
    </w:lvl>
    <w:lvl w:ilvl="1" w:tplc="04050003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28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00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72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44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16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886" w:hanging="360"/>
      </w:pPr>
      <w:rPr>
        <w:rFonts w:ascii="Wingdings" w:hAnsi="Wingdings" w:hint="default"/>
      </w:rPr>
    </w:lvl>
  </w:abstractNum>
  <w:abstractNum w:abstractNumId="8" w15:restartNumberingAfterBreak="0">
    <w:nsid w:val="18EE20AE"/>
    <w:multiLevelType w:val="hybridMultilevel"/>
    <w:tmpl w:val="CD942976"/>
    <w:lvl w:ilvl="0" w:tplc="988CBEF6">
      <w:start w:val="1"/>
      <w:numFmt w:val="bullet"/>
      <w:lvlText w:val=""/>
      <w:lvlJc w:val="left"/>
      <w:pPr>
        <w:ind w:left="720" w:hanging="360"/>
      </w:pPr>
      <w:rPr>
        <w:rFonts w:ascii="Wingdings 2" w:hAnsi="Wingdings 2" w:hint="default"/>
        <w:color w:val="215868" w:themeColor="accent5" w:themeShade="80"/>
        <w:sz w:val="16"/>
        <w:szCs w:val="16"/>
        <w:u w:color="D52B1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4323E"/>
    <w:multiLevelType w:val="multilevel"/>
    <w:tmpl w:val="1944AB6E"/>
    <w:styleLink w:val="Tabulky"/>
    <w:lvl w:ilvl="0">
      <w:start w:val="1"/>
      <w:numFmt w:val="decimal"/>
      <w:lvlText w:val="Tabulka č. %1:"/>
      <w:lvlJc w:val="left"/>
      <w:pPr>
        <w:ind w:left="786" w:hanging="360"/>
      </w:pPr>
      <w:rPr>
        <w:rFonts w:ascii="Verdana" w:hAnsi="Verdana" w:hint="default"/>
        <w:b/>
        <w:sz w:val="1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D03AD"/>
    <w:multiLevelType w:val="hybridMultilevel"/>
    <w:tmpl w:val="537E99E6"/>
    <w:lvl w:ilvl="0" w:tplc="988CBEF6">
      <w:start w:val="1"/>
      <w:numFmt w:val="bullet"/>
      <w:lvlText w:val=""/>
      <w:lvlJc w:val="left"/>
      <w:pPr>
        <w:ind w:left="720" w:hanging="360"/>
      </w:pPr>
      <w:rPr>
        <w:rFonts w:ascii="Wingdings 2" w:hAnsi="Wingdings 2" w:hint="default"/>
        <w:color w:val="215868" w:themeColor="accent5" w:themeShade="80"/>
        <w:sz w:val="16"/>
        <w:szCs w:val="16"/>
        <w:u w:color="D52B1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F1FB4"/>
    <w:multiLevelType w:val="multilevel"/>
    <w:tmpl w:val="69AA1CF6"/>
    <w:lvl w:ilvl="0">
      <w:start w:val="1"/>
      <w:numFmt w:val="decimal"/>
      <w:pStyle w:val="Tabulka"/>
      <w:lvlText w:val="Tabulka č. %1:"/>
      <w:lvlJc w:val="left"/>
      <w:pPr>
        <w:tabs>
          <w:tab w:val="num" w:pos="2552"/>
        </w:tabs>
        <w:ind w:left="851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7785C32"/>
    <w:multiLevelType w:val="multilevel"/>
    <w:tmpl w:val="4AE6D854"/>
    <w:lvl w:ilvl="0">
      <w:start w:val="1"/>
      <w:numFmt w:val="bullet"/>
      <w:lvlText w:val=""/>
      <w:lvlJc w:val="left"/>
      <w:pPr>
        <w:ind w:left="644" w:hanging="360"/>
      </w:pPr>
      <w:rPr>
        <w:rFonts w:ascii="Wingdings 2" w:hAnsi="Wingdings 2" w:hint="default"/>
        <w:color w:val="215868" w:themeColor="accent5" w:themeShade="80"/>
        <w:sz w:val="16"/>
        <w:szCs w:val="16"/>
        <w:u w:color="D52B1E"/>
      </w:rPr>
    </w:lvl>
    <w:lvl w:ilvl="1">
      <w:start w:val="1"/>
      <w:numFmt w:val="bullet"/>
      <w:lvlText w:val="-"/>
      <w:lvlJc w:val="left"/>
      <w:pPr>
        <w:ind w:left="1134" w:hanging="425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1559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3" w15:restartNumberingAfterBreak="0">
    <w:nsid w:val="27C85C49"/>
    <w:multiLevelType w:val="multilevel"/>
    <w:tmpl w:val="8F785DF4"/>
    <w:styleLink w:val="KaskdyA"/>
    <w:lvl w:ilvl="0">
      <w:start w:val="1"/>
      <w:numFmt w:val="decimal"/>
      <w:lvlText w:val="%1."/>
      <w:lvlJc w:val="left"/>
      <w:pPr>
        <w:ind w:left="425" w:hanging="141"/>
      </w:pPr>
      <w:rPr>
        <w:rFonts w:ascii="Verdana" w:hAnsi="Verdana" w:hint="default"/>
        <w:sz w:val="19"/>
      </w:rPr>
    </w:lvl>
    <w:lvl w:ilvl="1">
      <w:start w:val="1"/>
      <w:numFmt w:val="lowerLetter"/>
      <w:lvlText w:val="%2."/>
      <w:lvlJc w:val="left"/>
      <w:pPr>
        <w:ind w:left="992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8573A2B"/>
    <w:multiLevelType w:val="multilevel"/>
    <w:tmpl w:val="5838BBBC"/>
    <w:lvl w:ilvl="0">
      <w:start w:val="1"/>
      <w:numFmt w:val="decimal"/>
      <w:pStyle w:val="Ploha"/>
      <w:lvlText w:val="Příloha č. %1:"/>
      <w:lvlJc w:val="left"/>
      <w:pPr>
        <w:ind w:left="1418" w:hanging="1418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B297A9A"/>
    <w:multiLevelType w:val="hybridMultilevel"/>
    <w:tmpl w:val="B392855C"/>
    <w:lvl w:ilvl="0" w:tplc="9494865C">
      <w:start w:val="1"/>
      <w:numFmt w:val="decimal"/>
      <w:pStyle w:val="graf"/>
      <w:lvlText w:val="Graf č. %1: 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111E1C"/>
    <w:multiLevelType w:val="multilevel"/>
    <w:tmpl w:val="8454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89008B"/>
    <w:multiLevelType w:val="multilevel"/>
    <w:tmpl w:val="8EDC0B00"/>
    <w:lvl w:ilvl="0">
      <w:start w:val="1"/>
      <w:numFmt w:val="upperLetter"/>
      <w:pStyle w:val="KaskdaA"/>
      <w:lvlText w:val="%1."/>
      <w:lvlJc w:val="left"/>
      <w:pPr>
        <w:ind w:left="425" w:hanging="141"/>
      </w:pPr>
      <w:rPr>
        <w:rFonts w:ascii="Verdana" w:hAnsi="Verdana" w:hint="default"/>
        <w:sz w:val="19"/>
      </w:rPr>
    </w:lvl>
    <w:lvl w:ilvl="1">
      <w:start w:val="1"/>
      <w:numFmt w:val="decimal"/>
      <w:lvlText w:val="%2)"/>
      <w:lvlJc w:val="left"/>
      <w:pPr>
        <w:ind w:left="1134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559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43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369658E9"/>
    <w:multiLevelType w:val="hybridMultilevel"/>
    <w:tmpl w:val="72828990"/>
    <w:lvl w:ilvl="0" w:tplc="988CBEF6">
      <w:start w:val="1"/>
      <w:numFmt w:val="bullet"/>
      <w:lvlText w:val=""/>
      <w:lvlJc w:val="left"/>
      <w:pPr>
        <w:ind w:left="720" w:hanging="360"/>
      </w:pPr>
      <w:rPr>
        <w:rFonts w:ascii="Wingdings 2" w:hAnsi="Wingdings 2" w:hint="default"/>
        <w:color w:val="215868" w:themeColor="accent5" w:themeShade="80"/>
        <w:sz w:val="16"/>
        <w:szCs w:val="16"/>
        <w:u w:color="D52B1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E05A52"/>
    <w:multiLevelType w:val="multilevel"/>
    <w:tmpl w:val="04CEB976"/>
    <w:lvl w:ilvl="0">
      <w:start w:val="1"/>
      <w:numFmt w:val="decimal"/>
      <w:pStyle w:val="Obrzek"/>
      <w:lvlText w:val="Obrázek č. %1: 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2DB0C72"/>
    <w:multiLevelType w:val="multilevel"/>
    <w:tmpl w:val="206C14F6"/>
    <w:lvl w:ilvl="0">
      <w:start w:val="1"/>
      <w:numFmt w:val="bullet"/>
      <w:lvlText w:val=""/>
      <w:lvlJc w:val="left"/>
      <w:pPr>
        <w:ind w:left="644" w:hanging="360"/>
      </w:pPr>
      <w:rPr>
        <w:rFonts w:ascii="Wingdings 2" w:hAnsi="Wingdings 2" w:hint="default"/>
        <w:color w:val="215868" w:themeColor="accent5" w:themeShade="80"/>
        <w:sz w:val="16"/>
        <w:szCs w:val="16"/>
        <w:u w:color="D52B1E"/>
      </w:rPr>
    </w:lvl>
    <w:lvl w:ilvl="1">
      <w:start w:val="1"/>
      <w:numFmt w:val="bullet"/>
      <w:lvlText w:val="-"/>
      <w:lvlJc w:val="left"/>
      <w:pPr>
        <w:ind w:left="1134" w:hanging="425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1559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1" w15:restartNumberingAfterBreak="0">
    <w:nsid w:val="457E43F4"/>
    <w:multiLevelType w:val="hybridMultilevel"/>
    <w:tmpl w:val="73AE534E"/>
    <w:lvl w:ilvl="0" w:tplc="9716A94C">
      <w:start w:val="1"/>
      <w:numFmt w:val="decimal"/>
      <w:pStyle w:val="tabulka0"/>
      <w:lvlText w:val="Tabulka č. %1: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E207DB"/>
    <w:multiLevelType w:val="multilevel"/>
    <w:tmpl w:val="1D1AC466"/>
    <w:lvl w:ilvl="0">
      <w:start w:val="1"/>
      <w:numFmt w:val="bullet"/>
      <w:lvlText w:val=""/>
      <w:lvlJc w:val="left"/>
      <w:pPr>
        <w:ind w:left="644" w:hanging="360"/>
      </w:pPr>
      <w:rPr>
        <w:rFonts w:ascii="Wingdings 2" w:hAnsi="Wingdings 2" w:hint="default"/>
        <w:color w:val="215868" w:themeColor="accent5" w:themeShade="80"/>
        <w:sz w:val="16"/>
        <w:szCs w:val="16"/>
        <w:u w:color="D52B1E"/>
      </w:rPr>
    </w:lvl>
    <w:lvl w:ilvl="1">
      <w:start w:val="1"/>
      <w:numFmt w:val="bullet"/>
      <w:lvlText w:val="-"/>
      <w:lvlJc w:val="left"/>
      <w:pPr>
        <w:ind w:left="1134" w:hanging="425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1559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3" w15:restartNumberingAfterBreak="0">
    <w:nsid w:val="4AF25C8A"/>
    <w:multiLevelType w:val="multilevel"/>
    <w:tmpl w:val="C4E4EE16"/>
    <w:lvl w:ilvl="0">
      <w:start w:val="3"/>
      <w:numFmt w:val="bullet"/>
      <w:pStyle w:val="Kaskda0"/>
      <w:lvlText w:val="●"/>
      <w:lvlJc w:val="left"/>
      <w:pPr>
        <w:ind w:left="644" w:hanging="360"/>
      </w:pPr>
      <w:rPr>
        <w:rFonts w:ascii="Calibri" w:hAnsi="Calibri" w:hint="default"/>
        <w:color w:val="2E3192"/>
        <w:sz w:val="16"/>
      </w:rPr>
    </w:lvl>
    <w:lvl w:ilvl="1">
      <w:start w:val="1"/>
      <w:numFmt w:val="bullet"/>
      <w:lvlText w:val="-"/>
      <w:lvlJc w:val="left"/>
      <w:pPr>
        <w:ind w:left="1134" w:hanging="425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1559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4" w15:restartNumberingAfterBreak="0">
    <w:nsid w:val="4CCB5274"/>
    <w:multiLevelType w:val="multilevel"/>
    <w:tmpl w:val="DB68E026"/>
    <w:lvl w:ilvl="0">
      <w:start w:val="1"/>
      <w:numFmt w:val="bullet"/>
      <w:lvlText w:val=""/>
      <w:lvlJc w:val="left"/>
      <w:pPr>
        <w:ind w:left="644" w:hanging="360"/>
      </w:pPr>
      <w:rPr>
        <w:rFonts w:ascii="Wingdings 2" w:hAnsi="Wingdings 2" w:hint="default"/>
        <w:color w:val="215868" w:themeColor="accent5" w:themeShade="80"/>
        <w:sz w:val="16"/>
        <w:szCs w:val="16"/>
        <w:u w:color="D52B1E"/>
      </w:rPr>
    </w:lvl>
    <w:lvl w:ilvl="1">
      <w:start w:val="1"/>
      <w:numFmt w:val="bullet"/>
      <w:lvlText w:val="-"/>
      <w:lvlJc w:val="left"/>
      <w:pPr>
        <w:ind w:left="1134" w:hanging="425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1559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5" w15:restartNumberingAfterBreak="0">
    <w:nsid w:val="4FCA4982"/>
    <w:multiLevelType w:val="hybridMultilevel"/>
    <w:tmpl w:val="F19EC372"/>
    <w:lvl w:ilvl="0" w:tplc="87DA3480">
      <w:start w:val="1"/>
      <w:numFmt w:val="decimal"/>
      <w:pStyle w:val="Odstavecsslem"/>
      <w:lvlText w:val="%1)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DE7197"/>
    <w:multiLevelType w:val="multilevel"/>
    <w:tmpl w:val="EF02B3AC"/>
    <w:lvl w:ilvl="0">
      <w:start w:val="1"/>
      <w:numFmt w:val="decimal"/>
      <w:pStyle w:val="Graf0"/>
      <w:lvlText w:val="Graf č. %1:"/>
      <w:lvlJc w:val="left"/>
      <w:pPr>
        <w:tabs>
          <w:tab w:val="num" w:pos="1276"/>
        </w:tabs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6BB837F1"/>
    <w:multiLevelType w:val="multilevel"/>
    <w:tmpl w:val="B192A514"/>
    <w:lvl w:ilvl="0">
      <w:start w:val="1"/>
      <w:numFmt w:val="bullet"/>
      <w:lvlText w:val=""/>
      <w:lvlJc w:val="left"/>
      <w:pPr>
        <w:ind w:left="644" w:hanging="360"/>
      </w:pPr>
      <w:rPr>
        <w:rFonts w:ascii="Wingdings 2" w:hAnsi="Wingdings 2" w:hint="default"/>
        <w:color w:val="215868" w:themeColor="accent5" w:themeShade="80"/>
        <w:sz w:val="16"/>
        <w:szCs w:val="16"/>
        <w:u w:color="D52B1E"/>
      </w:rPr>
    </w:lvl>
    <w:lvl w:ilvl="1">
      <w:start w:val="1"/>
      <w:numFmt w:val="bullet"/>
      <w:lvlText w:val="-"/>
      <w:lvlJc w:val="left"/>
      <w:pPr>
        <w:ind w:left="1134" w:hanging="425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1559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8" w15:restartNumberingAfterBreak="0">
    <w:nsid w:val="76672387"/>
    <w:multiLevelType w:val="multilevel"/>
    <w:tmpl w:val="45BA5B3C"/>
    <w:lvl w:ilvl="0">
      <w:start w:val="1"/>
      <w:numFmt w:val="bullet"/>
      <w:lvlText w:val=""/>
      <w:lvlJc w:val="left"/>
      <w:pPr>
        <w:ind w:left="644" w:hanging="360"/>
      </w:pPr>
      <w:rPr>
        <w:rFonts w:ascii="Wingdings 2" w:hAnsi="Wingdings 2" w:hint="default"/>
        <w:color w:val="215868" w:themeColor="accent5" w:themeShade="80"/>
        <w:sz w:val="16"/>
        <w:szCs w:val="16"/>
        <w:u w:color="D52B1E"/>
      </w:rPr>
    </w:lvl>
    <w:lvl w:ilvl="1">
      <w:start w:val="1"/>
      <w:numFmt w:val="bullet"/>
      <w:lvlText w:val="-"/>
      <w:lvlJc w:val="left"/>
      <w:pPr>
        <w:ind w:left="1134" w:hanging="425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1559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9" w15:restartNumberingAfterBreak="0">
    <w:nsid w:val="790A4F38"/>
    <w:multiLevelType w:val="multilevel"/>
    <w:tmpl w:val="0405001D"/>
    <w:styleLink w:val="Seznamgraf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70094146">
    <w:abstractNumId w:val="29"/>
  </w:num>
  <w:num w:numId="2" w16cid:durableId="1147818582">
    <w:abstractNumId w:val="1"/>
  </w:num>
  <w:num w:numId="3" w16cid:durableId="1294561157">
    <w:abstractNumId w:val="25"/>
  </w:num>
  <w:num w:numId="4" w16cid:durableId="526332942">
    <w:abstractNumId w:val="2"/>
  </w:num>
  <w:num w:numId="5" w16cid:durableId="2109039107">
    <w:abstractNumId w:val="19"/>
  </w:num>
  <w:num w:numId="6" w16cid:durableId="1683699531">
    <w:abstractNumId w:val="26"/>
  </w:num>
  <w:num w:numId="7" w16cid:durableId="730733752">
    <w:abstractNumId w:val="3"/>
  </w:num>
  <w:num w:numId="8" w16cid:durableId="1554150539">
    <w:abstractNumId w:val="9"/>
  </w:num>
  <w:num w:numId="9" w16cid:durableId="1417551625">
    <w:abstractNumId w:val="11"/>
  </w:num>
  <w:num w:numId="10" w16cid:durableId="1412503717">
    <w:abstractNumId w:val="0"/>
  </w:num>
  <w:num w:numId="11" w16cid:durableId="1080325211">
    <w:abstractNumId w:val="14"/>
  </w:num>
  <w:num w:numId="12" w16cid:durableId="988175446">
    <w:abstractNumId w:val="13"/>
  </w:num>
  <w:num w:numId="13" w16cid:durableId="1443064548">
    <w:abstractNumId w:val="17"/>
  </w:num>
  <w:num w:numId="14" w16cid:durableId="1924337093">
    <w:abstractNumId w:val="15"/>
  </w:num>
  <w:num w:numId="15" w16cid:durableId="37511123">
    <w:abstractNumId w:val="21"/>
  </w:num>
  <w:num w:numId="16" w16cid:durableId="184639704">
    <w:abstractNumId w:val="7"/>
  </w:num>
  <w:num w:numId="17" w16cid:durableId="637417313">
    <w:abstractNumId w:val="23"/>
  </w:num>
  <w:num w:numId="18" w16cid:durableId="1053430184">
    <w:abstractNumId w:val="8"/>
  </w:num>
  <w:num w:numId="19" w16cid:durableId="1419063564">
    <w:abstractNumId w:val="24"/>
  </w:num>
  <w:num w:numId="20" w16cid:durableId="1211763304">
    <w:abstractNumId w:val="10"/>
  </w:num>
  <w:num w:numId="21" w16cid:durableId="1736050325">
    <w:abstractNumId w:val="22"/>
  </w:num>
  <w:num w:numId="22" w16cid:durableId="245655747">
    <w:abstractNumId w:val="18"/>
  </w:num>
  <w:num w:numId="23" w16cid:durableId="934746459">
    <w:abstractNumId w:val="20"/>
  </w:num>
  <w:num w:numId="24" w16cid:durableId="1395279596">
    <w:abstractNumId w:val="12"/>
  </w:num>
  <w:num w:numId="25" w16cid:durableId="1002704781">
    <w:abstractNumId w:val="27"/>
  </w:num>
  <w:num w:numId="26" w16cid:durableId="1534268301">
    <w:abstractNumId w:val="5"/>
  </w:num>
  <w:num w:numId="27" w16cid:durableId="488904597">
    <w:abstractNumId w:val="28"/>
  </w:num>
  <w:num w:numId="28" w16cid:durableId="1570992609">
    <w:abstractNumId w:val="6"/>
  </w:num>
  <w:num w:numId="29" w16cid:durableId="184367907">
    <w:abstractNumId w:val="4"/>
  </w:num>
  <w:num w:numId="30" w16cid:durableId="829449187">
    <w:abstractNumId w:val="1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consecutiveHyphenLimit w:val="1"/>
  <w:hyphenationZone w:val="425"/>
  <w:doNotHyphenateCaps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ED9"/>
    <w:rsid w:val="00000272"/>
    <w:rsid w:val="000002D3"/>
    <w:rsid w:val="000012A2"/>
    <w:rsid w:val="0000131B"/>
    <w:rsid w:val="00001604"/>
    <w:rsid w:val="000028F1"/>
    <w:rsid w:val="00002DBA"/>
    <w:rsid w:val="0000386C"/>
    <w:rsid w:val="000038DF"/>
    <w:rsid w:val="00003DDD"/>
    <w:rsid w:val="00005B42"/>
    <w:rsid w:val="00005E0E"/>
    <w:rsid w:val="00006965"/>
    <w:rsid w:val="00006CB0"/>
    <w:rsid w:val="0000725A"/>
    <w:rsid w:val="000073A5"/>
    <w:rsid w:val="000075AB"/>
    <w:rsid w:val="00010BC6"/>
    <w:rsid w:val="000111C0"/>
    <w:rsid w:val="0001130E"/>
    <w:rsid w:val="0001162A"/>
    <w:rsid w:val="000118CB"/>
    <w:rsid w:val="0001255E"/>
    <w:rsid w:val="00012C98"/>
    <w:rsid w:val="00013013"/>
    <w:rsid w:val="000133DE"/>
    <w:rsid w:val="00013718"/>
    <w:rsid w:val="0001574D"/>
    <w:rsid w:val="00015996"/>
    <w:rsid w:val="00015C40"/>
    <w:rsid w:val="00015CB0"/>
    <w:rsid w:val="00016CA8"/>
    <w:rsid w:val="00016D33"/>
    <w:rsid w:val="0001783A"/>
    <w:rsid w:val="00021A91"/>
    <w:rsid w:val="00021B7D"/>
    <w:rsid w:val="000220D9"/>
    <w:rsid w:val="0002221A"/>
    <w:rsid w:val="000224A2"/>
    <w:rsid w:val="000227BB"/>
    <w:rsid w:val="0002297F"/>
    <w:rsid w:val="00022BAA"/>
    <w:rsid w:val="000234BB"/>
    <w:rsid w:val="00024D96"/>
    <w:rsid w:val="00024E3A"/>
    <w:rsid w:val="00025E13"/>
    <w:rsid w:val="00026106"/>
    <w:rsid w:val="00026AA5"/>
    <w:rsid w:val="00026ACB"/>
    <w:rsid w:val="00026F08"/>
    <w:rsid w:val="0002783F"/>
    <w:rsid w:val="0003062A"/>
    <w:rsid w:val="00031044"/>
    <w:rsid w:val="00032188"/>
    <w:rsid w:val="000331B5"/>
    <w:rsid w:val="000335FE"/>
    <w:rsid w:val="00035BBC"/>
    <w:rsid w:val="00036796"/>
    <w:rsid w:val="00037112"/>
    <w:rsid w:val="0003715B"/>
    <w:rsid w:val="00037A8B"/>
    <w:rsid w:val="00037ABA"/>
    <w:rsid w:val="00041293"/>
    <w:rsid w:val="0004136F"/>
    <w:rsid w:val="00041648"/>
    <w:rsid w:val="00041E26"/>
    <w:rsid w:val="000425E5"/>
    <w:rsid w:val="00043012"/>
    <w:rsid w:val="00043514"/>
    <w:rsid w:val="00044528"/>
    <w:rsid w:val="0004473A"/>
    <w:rsid w:val="000450D7"/>
    <w:rsid w:val="00046613"/>
    <w:rsid w:val="000470A0"/>
    <w:rsid w:val="00047168"/>
    <w:rsid w:val="000473E8"/>
    <w:rsid w:val="00047951"/>
    <w:rsid w:val="00050444"/>
    <w:rsid w:val="00050FED"/>
    <w:rsid w:val="00051774"/>
    <w:rsid w:val="00051967"/>
    <w:rsid w:val="00051990"/>
    <w:rsid w:val="000522EB"/>
    <w:rsid w:val="000541BD"/>
    <w:rsid w:val="00054500"/>
    <w:rsid w:val="00054C2C"/>
    <w:rsid w:val="00054D78"/>
    <w:rsid w:val="00055B0F"/>
    <w:rsid w:val="00055E31"/>
    <w:rsid w:val="00056212"/>
    <w:rsid w:val="0005697C"/>
    <w:rsid w:val="00056B7F"/>
    <w:rsid w:val="00057E3C"/>
    <w:rsid w:val="00060069"/>
    <w:rsid w:val="00061212"/>
    <w:rsid w:val="00061473"/>
    <w:rsid w:val="00061641"/>
    <w:rsid w:val="000621A1"/>
    <w:rsid w:val="000625C9"/>
    <w:rsid w:val="00062796"/>
    <w:rsid w:val="00062888"/>
    <w:rsid w:val="000628F6"/>
    <w:rsid w:val="00062E35"/>
    <w:rsid w:val="00063436"/>
    <w:rsid w:val="00063947"/>
    <w:rsid w:val="000639B2"/>
    <w:rsid w:val="00063FD3"/>
    <w:rsid w:val="00064180"/>
    <w:rsid w:val="00064384"/>
    <w:rsid w:val="00064628"/>
    <w:rsid w:val="00065036"/>
    <w:rsid w:val="00065555"/>
    <w:rsid w:val="00065818"/>
    <w:rsid w:val="00066709"/>
    <w:rsid w:val="000668DD"/>
    <w:rsid w:val="00070FBA"/>
    <w:rsid w:val="000714A9"/>
    <w:rsid w:val="0007279F"/>
    <w:rsid w:val="0007308F"/>
    <w:rsid w:val="00073125"/>
    <w:rsid w:val="00074B2B"/>
    <w:rsid w:val="000750DA"/>
    <w:rsid w:val="00076038"/>
    <w:rsid w:val="0007649E"/>
    <w:rsid w:val="000773F4"/>
    <w:rsid w:val="0007761A"/>
    <w:rsid w:val="00077692"/>
    <w:rsid w:val="00077914"/>
    <w:rsid w:val="000800F7"/>
    <w:rsid w:val="00080619"/>
    <w:rsid w:val="00081AFD"/>
    <w:rsid w:val="00082042"/>
    <w:rsid w:val="00082663"/>
    <w:rsid w:val="000827CC"/>
    <w:rsid w:val="00083F8E"/>
    <w:rsid w:val="00084487"/>
    <w:rsid w:val="000852C9"/>
    <w:rsid w:val="00085ADC"/>
    <w:rsid w:val="00085E40"/>
    <w:rsid w:val="00086EAD"/>
    <w:rsid w:val="00086F1D"/>
    <w:rsid w:val="000870D3"/>
    <w:rsid w:val="00090856"/>
    <w:rsid w:val="00090BC8"/>
    <w:rsid w:val="00091654"/>
    <w:rsid w:val="0009184F"/>
    <w:rsid w:val="000918D4"/>
    <w:rsid w:val="00092193"/>
    <w:rsid w:val="00092667"/>
    <w:rsid w:val="00092BA1"/>
    <w:rsid w:val="00092CFB"/>
    <w:rsid w:val="00093100"/>
    <w:rsid w:val="000934E1"/>
    <w:rsid w:val="0009363B"/>
    <w:rsid w:val="00093888"/>
    <w:rsid w:val="00093A62"/>
    <w:rsid w:val="00093F8B"/>
    <w:rsid w:val="00094636"/>
    <w:rsid w:val="00094DA4"/>
    <w:rsid w:val="00095C36"/>
    <w:rsid w:val="0009605A"/>
    <w:rsid w:val="00096060"/>
    <w:rsid w:val="00097198"/>
    <w:rsid w:val="000972D9"/>
    <w:rsid w:val="00097328"/>
    <w:rsid w:val="000A0D3C"/>
    <w:rsid w:val="000A0E39"/>
    <w:rsid w:val="000A10C2"/>
    <w:rsid w:val="000A1500"/>
    <w:rsid w:val="000A1ABF"/>
    <w:rsid w:val="000A200F"/>
    <w:rsid w:val="000A332B"/>
    <w:rsid w:val="000A36A7"/>
    <w:rsid w:val="000A374A"/>
    <w:rsid w:val="000A4B0F"/>
    <w:rsid w:val="000A5C17"/>
    <w:rsid w:val="000A688E"/>
    <w:rsid w:val="000A7663"/>
    <w:rsid w:val="000B02A7"/>
    <w:rsid w:val="000B0F23"/>
    <w:rsid w:val="000B12D2"/>
    <w:rsid w:val="000B17F2"/>
    <w:rsid w:val="000B21CC"/>
    <w:rsid w:val="000B22C7"/>
    <w:rsid w:val="000B30AC"/>
    <w:rsid w:val="000B3466"/>
    <w:rsid w:val="000B3B94"/>
    <w:rsid w:val="000B451B"/>
    <w:rsid w:val="000B64E5"/>
    <w:rsid w:val="000B687B"/>
    <w:rsid w:val="000B743E"/>
    <w:rsid w:val="000B7C6B"/>
    <w:rsid w:val="000B7E1F"/>
    <w:rsid w:val="000C00E9"/>
    <w:rsid w:val="000C068A"/>
    <w:rsid w:val="000C06A2"/>
    <w:rsid w:val="000C0BF4"/>
    <w:rsid w:val="000C11D4"/>
    <w:rsid w:val="000C1378"/>
    <w:rsid w:val="000C13D6"/>
    <w:rsid w:val="000C179E"/>
    <w:rsid w:val="000C1C78"/>
    <w:rsid w:val="000C3D3C"/>
    <w:rsid w:val="000C3DB2"/>
    <w:rsid w:val="000C43FB"/>
    <w:rsid w:val="000C462D"/>
    <w:rsid w:val="000C483E"/>
    <w:rsid w:val="000C48AF"/>
    <w:rsid w:val="000C4B8F"/>
    <w:rsid w:val="000C5278"/>
    <w:rsid w:val="000C554C"/>
    <w:rsid w:val="000C5A6D"/>
    <w:rsid w:val="000C64D9"/>
    <w:rsid w:val="000C661C"/>
    <w:rsid w:val="000C6DE7"/>
    <w:rsid w:val="000D0B5C"/>
    <w:rsid w:val="000D159A"/>
    <w:rsid w:val="000D17DE"/>
    <w:rsid w:val="000D195F"/>
    <w:rsid w:val="000D25DC"/>
    <w:rsid w:val="000D2B8A"/>
    <w:rsid w:val="000D2D11"/>
    <w:rsid w:val="000D2F0C"/>
    <w:rsid w:val="000D3122"/>
    <w:rsid w:val="000D3215"/>
    <w:rsid w:val="000D3BE0"/>
    <w:rsid w:val="000D3D76"/>
    <w:rsid w:val="000D3F8C"/>
    <w:rsid w:val="000D43A0"/>
    <w:rsid w:val="000D47B3"/>
    <w:rsid w:val="000D5C99"/>
    <w:rsid w:val="000D5CDD"/>
    <w:rsid w:val="000D5DE5"/>
    <w:rsid w:val="000D6149"/>
    <w:rsid w:val="000D6BDA"/>
    <w:rsid w:val="000E032E"/>
    <w:rsid w:val="000E05AF"/>
    <w:rsid w:val="000E0643"/>
    <w:rsid w:val="000E0B1C"/>
    <w:rsid w:val="000E0DC0"/>
    <w:rsid w:val="000E26E3"/>
    <w:rsid w:val="000E31B7"/>
    <w:rsid w:val="000E3A34"/>
    <w:rsid w:val="000E3E01"/>
    <w:rsid w:val="000E59F7"/>
    <w:rsid w:val="000E5B1C"/>
    <w:rsid w:val="000E6320"/>
    <w:rsid w:val="000E63DD"/>
    <w:rsid w:val="000E6996"/>
    <w:rsid w:val="000E7145"/>
    <w:rsid w:val="000F051B"/>
    <w:rsid w:val="000F1ACA"/>
    <w:rsid w:val="000F1C19"/>
    <w:rsid w:val="000F5562"/>
    <w:rsid w:val="000F55B2"/>
    <w:rsid w:val="000F5A4B"/>
    <w:rsid w:val="000F5A9B"/>
    <w:rsid w:val="000F665F"/>
    <w:rsid w:val="000F7B19"/>
    <w:rsid w:val="00100B64"/>
    <w:rsid w:val="0010102D"/>
    <w:rsid w:val="00101291"/>
    <w:rsid w:val="001013E2"/>
    <w:rsid w:val="0010156C"/>
    <w:rsid w:val="00102435"/>
    <w:rsid w:val="00102541"/>
    <w:rsid w:val="00103FF7"/>
    <w:rsid w:val="00104086"/>
    <w:rsid w:val="00104CAA"/>
    <w:rsid w:val="00104FBE"/>
    <w:rsid w:val="00105478"/>
    <w:rsid w:val="00105554"/>
    <w:rsid w:val="00105C23"/>
    <w:rsid w:val="00107A6B"/>
    <w:rsid w:val="0011061B"/>
    <w:rsid w:val="00110D14"/>
    <w:rsid w:val="00111052"/>
    <w:rsid w:val="00111227"/>
    <w:rsid w:val="00111238"/>
    <w:rsid w:val="001120A7"/>
    <w:rsid w:val="00112263"/>
    <w:rsid w:val="00112699"/>
    <w:rsid w:val="00113ABD"/>
    <w:rsid w:val="00113B21"/>
    <w:rsid w:val="00113FEF"/>
    <w:rsid w:val="00114A16"/>
    <w:rsid w:val="00114B41"/>
    <w:rsid w:val="001157BF"/>
    <w:rsid w:val="00115AE7"/>
    <w:rsid w:val="001160FC"/>
    <w:rsid w:val="00117255"/>
    <w:rsid w:val="00117CDB"/>
    <w:rsid w:val="00117EF2"/>
    <w:rsid w:val="001202B2"/>
    <w:rsid w:val="0012039C"/>
    <w:rsid w:val="0012169F"/>
    <w:rsid w:val="00121CE6"/>
    <w:rsid w:val="00121D44"/>
    <w:rsid w:val="0012215D"/>
    <w:rsid w:val="00122208"/>
    <w:rsid w:val="00122D55"/>
    <w:rsid w:val="00122E2F"/>
    <w:rsid w:val="0012348C"/>
    <w:rsid w:val="0012430B"/>
    <w:rsid w:val="00124561"/>
    <w:rsid w:val="00124F4E"/>
    <w:rsid w:val="0012576D"/>
    <w:rsid w:val="0012663D"/>
    <w:rsid w:val="00126F3D"/>
    <w:rsid w:val="0012773E"/>
    <w:rsid w:val="00127A92"/>
    <w:rsid w:val="001304FB"/>
    <w:rsid w:val="001309F4"/>
    <w:rsid w:val="00130CC9"/>
    <w:rsid w:val="00130EDC"/>
    <w:rsid w:val="00131009"/>
    <w:rsid w:val="00131731"/>
    <w:rsid w:val="00131C8D"/>
    <w:rsid w:val="00132FA3"/>
    <w:rsid w:val="00133C89"/>
    <w:rsid w:val="00133CC9"/>
    <w:rsid w:val="001341F7"/>
    <w:rsid w:val="00135DC0"/>
    <w:rsid w:val="00136D25"/>
    <w:rsid w:val="00136E06"/>
    <w:rsid w:val="001370F4"/>
    <w:rsid w:val="0014018E"/>
    <w:rsid w:val="00140256"/>
    <w:rsid w:val="0014067D"/>
    <w:rsid w:val="001412B7"/>
    <w:rsid w:val="0014140C"/>
    <w:rsid w:val="00142237"/>
    <w:rsid w:val="0014223C"/>
    <w:rsid w:val="0014232A"/>
    <w:rsid w:val="001425E7"/>
    <w:rsid w:val="00142A99"/>
    <w:rsid w:val="00142C36"/>
    <w:rsid w:val="0014341C"/>
    <w:rsid w:val="00145043"/>
    <w:rsid w:val="00145379"/>
    <w:rsid w:val="00145CA3"/>
    <w:rsid w:val="00145ED6"/>
    <w:rsid w:val="001464B4"/>
    <w:rsid w:val="00146580"/>
    <w:rsid w:val="001466A0"/>
    <w:rsid w:val="001468E8"/>
    <w:rsid w:val="00146B8D"/>
    <w:rsid w:val="00146CBF"/>
    <w:rsid w:val="00146D0F"/>
    <w:rsid w:val="00146E33"/>
    <w:rsid w:val="00147998"/>
    <w:rsid w:val="001511A9"/>
    <w:rsid w:val="00152376"/>
    <w:rsid w:val="00152524"/>
    <w:rsid w:val="00152853"/>
    <w:rsid w:val="00152B1C"/>
    <w:rsid w:val="00152EB2"/>
    <w:rsid w:val="0015359C"/>
    <w:rsid w:val="00153816"/>
    <w:rsid w:val="001538E0"/>
    <w:rsid w:val="00153EF8"/>
    <w:rsid w:val="00154A81"/>
    <w:rsid w:val="00156008"/>
    <w:rsid w:val="00156983"/>
    <w:rsid w:val="00156A34"/>
    <w:rsid w:val="001607A8"/>
    <w:rsid w:val="001609C6"/>
    <w:rsid w:val="00160FFF"/>
    <w:rsid w:val="00161503"/>
    <w:rsid w:val="00161D43"/>
    <w:rsid w:val="00162531"/>
    <w:rsid w:val="001628F6"/>
    <w:rsid w:val="00162B0C"/>
    <w:rsid w:val="00163012"/>
    <w:rsid w:val="001631F5"/>
    <w:rsid w:val="001632A0"/>
    <w:rsid w:val="00163F57"/>
    <w:rsid w:val="001640CD"/>
    <w:rsid w:val="00164651"/>
    <w:rsid w:val="00164BA3"/>
    <w:rsid w:val="001650C2"/>
    <w:rsid w:val="00165214"/>
    <w:rsid w:val="0016590B"/>
    <w:rsid w:val="001664FE"/>
    <w:rsid w:val="0016749A"/>
    <w:rsid w:val="001679D2"/>
    <w:rsid w:val="00167A6F"/>
    <w:rsid w:val="00167C63"/>
    <w:rsid w:val="0017020E"/>
    <w:rsid w:val="00170758"/>
    <w:rsid w:val="001707A6"/>
    <w:rsid w:val="001709E5"/>
    <w:rsid w:val="00170B3D"/>
    <w:rsid w:val="001712FD"/>
    <w:rsid w:val="00171C3B"/>
    <w:rsid w:val="00171F3D"/>
    <w:rsid w:val="0017304B"/>
    <w:rsid w:val="001734A5"/>
    <w:rsid w:val="00173838"/>
    <w:rsid w:val="001747CE"/>
    <w:rsid w:val="00174AF0"/>
    <w:rsid w:val="00174B51"/>
    <w:rsid w:val="00175FF9"/>
    <w:rsid w:val="001761DA"/>
    <w:rsid w:val="001766C4"/>
    <w:rsid w:val="001768B6"/>
    <w:rsid w:val="00176F15"/>
    <w:rsid w:val="001773BF"/>
    <w:rsid w:val="001778E4"/>
    <w:rsid w:val="0018024A"/>
    <w:rsid w:val="00180A4D"/>
    <w:rsid w:val="00180D26"/>
    <w:rsid w:val="00180E1B"/>
    <w:rsid w:val="001810E4"/>
    <w:rsid w:val="00181906"/>
    <w:rsid w:val="001824DD"/>
    <w:rsid w:val="001826F8"/>
    <w:rsid w:val="00182780"/>
    <w:rsid w:val="00182967"/>
    <w:rsid w:val="001836F0"/>
    <w:rsid w:val="00183A77"/>
    <w:rsid w:val="001841CD"/>
    <w:rsid w:val="00184D76"/>
    <w:rsid w:val="00185338"/>
    <w:rsid w:val="00185500"/>
    <w:rsid w:val="00186DB1"/>
    <w:rsid w:val="00186F36"/>
    <w:rsid w:val="00187692"/>
    <w:rsid w:val="00187711"/>
    <w:rsid w:val="00187A84"/>
    <w:rsid w:val="00190511"/>
    <w:rsid w:val="0019192F"/>
    <w:rsid w:val="00191A87"/>
    <w:rsid w:val="00192038"/>
    <w:rsid w:val="001933FE"/>
    <w:rsid w:val="00193CCF"/>
    <w:rsid w:val="00193D74"/>
    <w:rsid w:val="00193D81"/>
    <w:rsid w:val="00194CDA"/>
    <w:rsid w:val="00196194"/>
    <w:rsid w:val="001963F5"/>
    <w:rsid w:val="00196B33"/>
    <w:rsid w:val="0019734F"/>
    <w:rsid w:val="001A11BB"/>
    <w:rsid w:val="001A1B2E"/>
    <w:rsid w:val="001A26CC"/>
    <w:rsid w:val="001A2E9F"/>
    <w:rsid w:val="001A39CE"/>
    <w:rsid w:val="001A3B44"/>
    <w:rsid w:val="001A5180"/>
    <w:rsid w:val="001A5A5D"/>
    <w:rsid w:val="001A5FA7"/>
    <w:rsid w:val="001A6EEE"/>
    <w:rsid w:val="001A700E"/>
    <w:rsid w:val="001A725B"/>
    <w:rsid w:val="001A7579"/>
    <w:rsid w:val="001A7AFF"/>
    <w:rsid w:val="001A7FD3"/>
    <w:rsid w:val="001B0066"/>
    <w:rsid w:val="001B0489"/>
    <w:rsid w:val="001B0A94"/>
    <w:rsid w:val="001B0B02"/>
    <w:rsid w:val="001B1C8F"/>
    <w:rsid w:val="001B2851"/>
    <w:rsid w:val="001B2BCE"/>
    <w:rsid w:val="001B2EC4"/>
    <w:rsid w:val="001B4D73"/>
    <w:rsid w:val="001B584F"/>
    <w:rsid w:val="001B58F3"/>
    <w:rsid w:val="001B6FAF"/>
    <w:rsid w:val="001B7172"/>
    <w:rsid w:val="001B7894"/>
    <w:rsid w:val="001B7AA3"/>
    <w:rsid w:val="001C0B65"/>
    <w:rsid w:val="001C152C"/>
    <w:rsid w:val="001C1F75"/>
    <w:rsid w:val="001C2291"/>
    <w:rsid w:val="001C2939"/>
    <w:rsid w:val="001C2AFC"/>
    <w:rsid w:val="001C2E51"/>
    <w:rsid w:val="001C2FC6"/>
    <w:rsid w:val="001C3685"/>
    <w:rsid w:val="001C3766"/>
    <w:rsid w:val="001C4CBB"/>
    <w:rsid w:val="001C52A9"/>
    <w:rsid w:val="001C5948"/>
    <w:rsid w:val="001C6850"/>
    <w:rsid w:val="001C6DF2"/>
    <w:rsid w:val="001C7558"/>
    <w:rsid w:val="001D09F4"/>
    <w:rsid w:val="001D0D04"/>
    <w:rsid w:val="001D182B"/>
    <w:rsid w:val="001D21E5"/>
    <w:rsid w:val="001D2356"/>
    <w:rsid w:val="001D28F3"/>
    <w:rsid w:val="001D4941"/>
    <w:rsid w:val="001D51B6"/>
    <w:rsid w:val="001D5750"/>
    <w:rsid w:val="001D583F"/>
    <w:rsid w:val="001D5DB8"/>
    <w:rsid w:val="001D6CEA"/>
    <w:rsid w:val="001E08E5"/>
    <w:rsid w:val="001E0AC2"/>
    <w:rsid w:val="001E1675"/>
    <w:rsid w:val="001E1B53"/>
    <w:rsid w:val="001E1B8B"/>
    <w:rsid w:val="001E21E5"/>
    <w:rsid w:val="001E2303"/>
    <w:rsid w:val="001E2CF8"/>
    <w:rsid w:val="001E4345"/>
    <w:rsid w:val="001E4908"/>
    <w:rsid w:val="001E4D41"/>
    <w:rsid w:val="001E51D1"/>
    <w:rsid w:val="001E58BE"/>
    <w:rsid w:val="001E5B9B"/>
    <w:rsid w:val="001E60C1"/>
    <w:rsid w:val="001E66E6"/>
    <w:rsid w:val="001E6DC3"/>
    <w:rsid w:val="001E70C7"/>
    <w:rsid w:val="001F0190"/>
    <w:rsid w:val="001F0629"/>
    <w:rsid w:val="001F11D8"/>
    <w:rsid w:val="001F1987"/>
    <w:rsid w:val="001F2772"/>
    <w:rsid w:val="001F2A69"/>
    <w:rsid w:val="001F2E79"/>
    <w:rsid w:val="001F2F3F"/>
    <w:rsid w:val="001F3350"/>
    <w:rsid w:val="001F3610"/>
    <w:rsid w:val="001F4B61"/>
    <w:rsid w:val="001F4ED8"/>
    <w:rsid w:val="001F6047"/>
    <w:rsid w:val="001F67F9"/>
    <w:rsid w:val="001F6AC2"/>
    <w:rsid w:val="001F7291"/>
    <w:rsid w:val="001F784C"/>
    <w:rsid w:val="001F7D07"/>
    <w:rsid w:val="0020137F"/>
    <w:rsid w:val="0020197D"/>
    <w:rsid w:val="00201E08"/>
    <w:rsid w:val="00201EF2"/>
    <w:rsid w:val="0020203F"/>
    <w:rsid w:val="002020CD"/>
    <w:rsid w:val="002027C7"/>
    <w:rsid w:val="00202AB1"/>
    <w:rsid w:val="00202DEC"/>
    <w:rsid w:val="00203A56"/>
    <w:rsid w:val="00203D3F"/>
    <w:rsid w:val="00204494"/>
    <w:rsid w:val="002048AA"/>
    <w:rsid w:val="00206A05"/>
    <w:rsid w:val="00206E2E"/>
    <w:rsid w:val="00210150"/>
    <w:rsid w:val="00211122"/>
    <w:rsid w:val="002112E9"/>
    <w:rsid w:val="002135E0"/>
    <w:rsid w:val="00213C0C"/>
    <w:rsid w:val="00213DB2"/>
    <w:rsid w:val="00213DCC"/>
    <w:rsid w:val="0021477E"/>
    <w:rsid w:val="00214E22"/>
    <w:rsid w:val="0021597C"/>
    <w:rsid w:val="00216767"/>
    <w:rsid w:val="00216871"/>
    <w:rsid w:val="00216CE7"/>
    <w:rsid w:val="00220F2A"/>
    <w:rsid w:val="002215EF"/>
    <w:rsid w:val="00222A72"/>
    <w:rsid w:val="0022328D"/>
    <w:rsid w:val="00223A9E"/>
    <w:rsid w:val="00223D8B"/>
    <w:rsid w:val="002244B2"/>
    <w:rsid w:val="002248E6"/>
    <w:rsid w:val="0022513D"/>
    <w:rsid w:val="0022643B"/>
    <w:rsid w:val="0022653C"/>
    <w:rsid w:val="00226543"/>
    <w:rsid w:val="00226A9A"/>
    <w:rsid w:val="00227088"/>
    <w:rsid w:val="00227275"/>
    <w:rsid w:val="002279BF"/>
    <w:rsid w:val="00227A8D"/>
    <w:rsid w:val="00227EF1"/>
    <w:rsid w:val="002305D4"/>
    <w:rsid w:val="00230729"/>
    <w:rsid w:val="00230F37"/>
    <w:rsid w:val="00231BC2"/>
    <w:rsid w:val="00232238"/>
    <w:rsid w:val="002330C5"/>
    <w:rsid w:val="00233427"/>
    <w:rsid w:val="00233938"/>
    <w:rsid w:val="00234552"/>
    <w:rsid w:val="0023520F"/>
    <w:rsid w:val="0023590D"/>
    <w:rsid w:val="002362B1"/>
    <w:rsid w:val="00237135"/>
    <w:rsid w:val="002371A2"/>
    <w:rsid w:val="00237796"/>
    <w:rsid w:val="00237A94"/>
    <w:rsid w:val="0024047E"/>
    <w:rsid w:val="002404AC"/>
    <w:rsid w:val="00242A6D"/>
    <w:rsid w:val="00243072"/>
    <w:rsid w:val="0024338B"/>
    <w:rsid w:val="00243A70"/>
    <w:rsid w:val="00243CBC"/>
    <w:rsid w:val="00243FF8"/>
    <w:rsid w:val="002447B4"/>
    <w:rsid w:val="002449A8"/>
    <w:rsid w:val="00245259"/>
    <w:rsid w:val="00245713"/>
    <w:rsid w:val="0025003C"/>
    <w:rsid w:val="00250EAD"/>
    <w:rsid w:val="00250F80"/>
    <w:rsid w:val="00251FA4"/>
    <w:rsid w:val="00252704"/>
    <w:rsid w:val="00252746"/>
    <w:rsid w:val="00252E9F"/>
    <w:rsid w:val="0025363B"/>
    <w:rsid w:val="00254BEB"/>
    <w:rsid w:val="00254C36"/>
    <w:rsid w:val="00255572"/>
    <w:rsid w:val="002559CA"/>
    <w:rsid w:val="00256491"/>
    <w:rsid w:val="002569BE"/>
    <w:rsid w:val="00257323"/>
    <w:rsid w:val="00261285"/>
    <w:rsid w:val="0026263E"/>
    <w:rsid w:val="00262DAE"/>
    <w:rsid w:val="00263135"/>
    <w:rsid w:val="002640F1"/>
    <w:rsid w:val="002644E2"/>
    <w:rsid w:val="00264648"/>
    <w:rsid w:val="00264654"/>
    <w:rsid w:val="002649E9"/>
    <w:rsid w:val="0026582F"/>
    <w:rsid w:val="002660AB"/>
    <w:rsid w:val="00266620"/>
    <w:rsid w:val="00266F52"/>
    <w:rsid w:val="002671BC"/>
    <w:rsid w:val="002673D8"/>
    <w:rsid w:val="00267537"/>
    <w:rsid w:val="00270DEB"/>
    <w:rsid w:val="00271432"/>
    <w:rsid w:val="00271A5E"/>
    <w:rsid w:val="00272893"/>
    <w:rsid w:val="00272AAD"/>
    <w:rsid w:val="00272C35"/>
    <w:rsid w:val="00273CF5"/>
    <w:rsid w:val="00273D92"/>
    <w:rsid w:val="0027439C"/>
    <w:rsid w:val="00275392"/>
    <w:rsid w:val="002756A1"/>
    <w:rsid w:val="00275E3E"/>
    <w:rsid w:val="00276985"/>
    <w:rsid w:val="00277AA2"/>
    <w:rsid w:val="00277D96"/>
    <w:rsid w:val="00280DE7"/>
    <w:rsid w:val="002811D7"/>
    <w:rsid w:val="00281838"/>
    <w:rsid w:val="00281C3B"/>
    <w:rsid w:val="00283373"/>
    <w:rsid w:val="00283D9D"/>
    <w:rsid w:val="00284397"/>
    <w:rsid w:val="0028452C"/>
    <w:rsid w:val="0028459E"/>
    <w:rsid w:val="002850FB"/>
    <w:rsid w:val="00285170"/>
    <w:rsid w:val="00285353"/>
    <w:rsid w:val="0028594C"/>
    <w:rsid w:val="002869C3"/>
    <w:rsid w:val="00286A53"/>
    <w:rsid w:val="00287217"/>
    <w:rsid w:val="00287270"/>
    <w:rsid w:val="00292184"/>
    <w:rsid w:val="00293194"/>
    <w:rsid w:val="002936FB"/>
    <w:rsid w:val="00293BE3"/>
    <w:rsid w:val="00293DDC"/>
    <w:rsid w:val="00294136"/>
    <w:rsid w:val="002942DD"/>
    <w:rsid w:val="00294EB4"/>
    <w:rsid w:val="00295973"/>
    <w:rsid w:val="002962E0"/>
    <w:rsid w:val="00296498"/>
    <w:rsid w:val="00296EB6"/>
    <w:rsid w:val="0029705E"/>
    <w:rsid w:val="00297888"/>
    <w:rsid w:val="002979BF"/>
    <w:rsid w:val="00297A5B"/>
    <w:rsid w:val="002A002F"/>
    <w:rsid w:val="002A084B"/>
    <w:rsid w:val="002A164D"/>
    <w:rsid w:val="002A1B43"/>
    <w:rsid w:val="002A1B7B"/>
    <w:rsid w:val="002A2BFC"/>
    <w:rsid w:val="002A31C3"/>
    <w:rsid w:val="002A36B9"/>
    <w:rsid w:val="002A3769"/>
    <w:rsid w:val="002A37C9"/>
    <w:rsid w:val="002A37D4"/>
    <w:rsid w:val="002A3E89"/>
    <w:rsid w:val="002A54F1"/>
    <w:rsid w:val="002A577E"/>
    <w:rsid w:val="002A59CE"/>
    <w:rsid w:val="002A60FF"/>
    <w:rsid w:val="002A653B"/>
    <w:rsid w:val="002A7136"/>
    <w:rsid w:val="002A7764"/>
    <w:rsid w:val="002B03FC"/>
    <w:rsid w:val="002B0C7D"/>
    <w:rsid w:val="002B2E28"/>
    <w:rsid w:val="002B399B"/>
    <w:rsid w:val="002B3DD8"/>
    <w:rsid w:val="002B3FB4"/>
    <w:rsid w:val="002B40DA"/>
    <w:rsid w:val="002B4984"/>
    <w:rsid w:val="002B4EA4"/>
    <w:rsid w:val="002B4EE4"/>
    <w:rsid w:val="002B549D"/>
    <w:rsid w:val="002B5667"/>
    <w:rsid w:val="002B7F5F"/>
    <w:rsid w:val="002C06BE"/>
    <w:rsid w:val="002C1B0B"/>
    <w:rsid w:val="002C1B8F"/>
    <w:rsid w:val="002C1E20"/>
    <w:rsid w:val="002C1EB7"/>
    <w:rsid w:val="002C1F00"/>
    <w:rsid w:val="002C26E6"/>
    <w:rsid w:val="002C2863"/>
    <w:rsid w:val="002C36D0"/>
    <w:rsid w:val="002C381E"/>
    <w:rsid w:val="002C3A1E"/>
    <w:rsid w:val="002C4306"/>
    <w:rsid w:val="002C458E"/>
    <w:rsid w:val="002C4A54"/>
    <w:rsid w:val="002C4AFC"/>
    <w:rsid w:val="002C5171"/>
    <w:rsid w:val="002C55BA"/>
    <w:rsid w:val="002C61DF"/>
    <w:rsid w:val="002C6642"/>
    <w:rsid w:val="002C68A9"/>
    <w:rsid w:val="002C78B5"/>
    <w:rsid w:val="002D0283"/>
    <w:rsid w:val="002D08F8"/>
    <w:rsid w:val="002D0955"/>
    <w:rsid w:val="002D0C38"/>
    <w:rsid w:val="002D1386"/>
    <w:rsid w:val="002D353A"/>
    <w:rsid w:val="002D3593"/>
    <w:rsid w:val="002D363B"/>
    <w:rsid w:val="002D3664"/>
    <w:rsid w:val="002D36F6"/>
    <w:rsid w:val="002D38AB"/>
    <w:rsid w:val="002D3C9B"/>
    <w:rsid w:val="002D4487"/>
    <w:rsid w:val="002D44B3"/>
    <w:rsid w:val="002D54C1"/>
    <w:rsid w:val="002D597A"/>
    <w:rsid w:val="002D5B08"/>
    <w:rsid w:val="002D610E"/>
    <w:rsid w:val="002D767D"/>
    <w:rsid w:val="002D78E6"/>
    <w:rsid w:val="002E0F71"/>
    <w:rsid w:val="002E120F"/>
    <w:rsid w:val="002E2510"/>
    <w:rsid w:val="002E2FF3"/>
    <w:rsid w:val="002E372D"/>
    <w:rsid w:val="002E3A30"/>
    <w:rsid w:val="002E4A20"/>
    <w:rsid w:val="002E52EE"/>
    <w:rsid w:val="002E5CBB"/>
    <w:rsid w:val="002E5CD9"/>
    <w:rsid w:val="002E6336"/>
    <w:rsid w:val="002E6E3B"/>
    <w:rsid w:val="002E7618"/>
    <w:rsid w:val="002F00E4"/>
    <w:rsid w:val="002F06C8"/>
    <w:rsid w:val="002F187B"/>
    <w:rsid w:val="002F18EA"/>
    <w:rsid w:val="002F34F8"/>
    <w:rsid w:val="002F37ED"/>
    <w:rsid w:val="002F4772"/>
    <w:rsid w:val="002F4A00"/>
    <w:rsid w:val="002F4F34"/>
    <w:rsid w:val="002F67A4"/>
    <w:rsid w:val="002F6887"/>
    <w:rsid w:val="002F791E"/>
    <w:rsid w:val="00300A8F"/>
    <w:rsid w:val="003012A1"/>
    <w:rsid w:val="0030187D"/>
    <w:rsid w:val="00301C4F"/>
    <w:rsid w:val="0030214A"/>
    <w:rsid w:val="0030295A"/>
    <w:rsid w:val="0030396C"/>
    <w:rsid w:val="00303B14"/>
    <w:rsid w:val="00303E92"/>
    <w:rsid w:val="00303FF0"/>
    <w:rsid w:val="003042B4"/>
    <w:rsid w:val="003053E3"/>
    <w:rsid w:val="00306101"/>
    <w:rsid w:val="003065AD"/>
    <w:rsid w:val="00306940"/>
    <w:rsid w:val="00306B97"/>
    <w:rsid w:val="00307229"/>
    <w:rsid w:val="003072B6"/>
    <w:rsid w:val="0030731E"/>
    <w:rsid w:val="00307616"/>
    <w:rsid w:val="0030771F"/>
    <w:rsid w:val="00307A32"/>
    <w:rsid w:val="00307DDE"/>
    <w:rsid w:val="00310412"/>
    <w:rsid w:val="00311825"/>
    <w:rsid w:val="0031214B"/>
    <w:rsid w:val="00313053"/>
    <w:rsid w:val="003137C1"/>
    <w:rsid w:val="00313F51"/>
    <w:rsid w:val="00314404"/>
    <w:rsid w:val="00314A8E"/>
    <w:rsid w:val="00314EB1"/>
    <w:rsid w:val="00315777"/>
    <w:rsid w:val="00315A20"/>
    <w:rsid w:val="0031612D"/>
    <w:rsid w:val="003171E6"/>
    <w:rsid w:val="0031735E"/>
    <w:rsid w:val="003177BE"/>
    <w:rsid w:val="0031782D"/>
    <w:rsid w:val="00320175"/>
    <w:rsid w:val="00320B53"/>
    <w:rsid w:val="00320C44"/>
    <w:rsid w:val="00321821"/>
    <w:rsid w:val="00325803"/>
    <w:rsid w:val="0032580B"/>
    <w:rsid w:val="00325CA7"/>
    <w:rsid w:val="00325ED2"/>
    <w:rsid w:val="0032636D"/>
    <w:rsid w:val="003263C3"/>
    <w:rsid w:val="00326BCC"/>
    <w:rsid w:val="00326DFD"/>
    <w:rsid w:val="00326FD2"/>
    <w:rsid w:val="00327127"/>
    <w:rsid w:val="00327FF1"/>
    <w:rsid w:val="00330096"/>
    <w:rsid w:val="003300CB"/>
    <w:rsid w:val="00330946"/>
    <w:rsid w:val="00331AB1"/>
    <w:rsid w:val="0033244D"/>
    <w:rsid w:val="003325CA"/>
    <w:rsid w:val="00332988"/>
    <w:rsid w:val="003332C3"/>
    <w:rsid w:val="003336FB"/>
    <w:rsid w:val="003345E2"/>
    <w:rsid w:val="00334953"/>
    <w:rsid w:val="00334C1F"/>
    <w:rsid w:val="00335166"/>
    <w:rsid w:val="003356D4"/>
    <w:rsid w:val="00335997"/>
    <w:rsid w:val="00335E20"/>
    <w:rsid w:val="00337AE8"/>
    <w:rsid w:val="0034050D"/>
    <w:rsid w:val="0034130A"/>
    <w:rsid w:val="00342698"/>
    <w:rsid w:val="003429F9"/>
    <w:rsid w:val="00342F38"/>
    <w:rsid w:val="003432C8"/>
    <w:rsid w:val="003451AE"/>
    <w:rsid w:val="00346904"/>
    <w:rsid w:val="00346E07"/>
    <w:rsid w:val="00347D3F"/>
    <w:rsid w:val="00347EF2"/>
    <w:rsid w:val="0035113C"/>
    <w:rsid w:val="003516B5"/>
    <w:rsid w:val="00351757"/>
    <w:rsid w:val="003519D2"/>
    <w:rsid w:val="00351B70"/>
    <w:rsid w:val="0035287A"/>
    <w:rsid w:val="003537A8"/>
    <w:rsid w:val="0035381A"/>
    <w:rsid w:val="0035388F"/>
    <w:rsid w:val="003541A8"/>
    <w:rsid w:val="00354EEA"/>
    <w:rsid w:val="003564ED"/>
    <w:rsid w:val="00356765"/>
    <w:rsid w:val="0035714F"/>
    <w:rsid w:val="003574F2"/>
    <w:rsid w:val="00360416"/>
    <w:rsid w:val="00360F2F"/>
    <w:rsid w:val="003610E3"/>
    <w:rsid w:val="003615AA"/>
    <w:rsid w:val="00361B20"/>
    <w:rsid w:val="00362A5F"/>
    <w:rsid w:val="00363A9C"/>
    <w:rsid w:val="00364436"/>
    <w:rsid w:val="00364ABC"/>
    <w:rsid w:val="00364D6D"/>
    <w:rsid w:val="003657FF"/>
    <w:rsid w:val="00365B4E"/>
    <w:rsid w:val="00365C65"/>
    <w:rsid w:val="003661AA"/>
    <w:rsid w:val="00366A11"/>
    <w:rsid w:val="00366D95"/>
    <w:rsid w:val="00366FD7"/>
    <w:rsid w:val="00370D4F"/>
    <w:rsid w:val="00371E20"/>
    <w:rsid w:val="0037209C"/>
    <w:rsid w:val="003720E9"/>
    <w:rsid w:val="003726BD"/>
    <w:rsid w:val="003729B9"/>
    <w:rsid w:val="00373493"/>
    <w:rsid w:val="00374343"/>
    <w:rsid w:val="0037522D"/>
    <w:rsid w:val="00375C7D"/>
    <w:rsid w:val="00376B61"/>
    <w:rsid w:val="00376D2E"/>
    <w:rsid w:val="00377DF6"/>
    <w:rsid w:val="003800A9"/>
    <w:rsid w:val="003806B1"/>
    <w:rsid w:val="003809C2"/>
    <w:rsid w:val="00380CA2"/>
    <w:rsid w:val="00380D5E"/>
    <w:rsid w:val="00380F56"/>
    <w:rsid w:val="003810B1"/>
    <w:rsid w:val="0038113D"/>
    <w:rsid w:val="0038114E"/>
    <w:rsid w:val="00381A5F"/>
    <w:rsid w:val="0038254D"/>
    <w:rsid w:val="00382A2A"/>
    <w:rsid w:val="00382F4A"/>
    <w:rsid w:val="003838A3"/>
    <w:rsid w:val="0038435A"/>
    <w:rsid w:val="00384B67"/>
    <w:rsid w:val="00384E85"/>
    <w:rsid w:val="00385881"/>
    <w:rsid w:val="00386357"/>
    <w:rsid w:val="00386E43"/>
    <w:rsid w:val="00386EAC"/>
    <w:rsid w:val="0038781B"/>
    <w:rsid w:val="00390390"/>
    <w:rsid w:val="00390702"/>
    <w:rsid w:val="003935C3"/>
    <w:rsid w:val="00393CF0"/>
    <w:rsid w:val="00394582"/>
    <w:rsid w:val="003952B9"/>
    <w:rsid w:val="00395474"/>
    <w:rsid w:val="003969CB"/>
    <w:rsid w:val="00396A76"/>
    <w:rsid w:val="0039780C"/>
    <w:rsid w:val="0039797F"/>
    <w:rsid w:val="00397C26"/>
    <w:rsid w:val="003A03F9"/>
    <w:rsid w:val="003A0C48"/>
    <w:rsid w:val="003A0F89"/>
    <w:rsid w:val="003A104C"/>
    <w:rsid w:val="003A12AF"/>
    <w:rsid w:val="003A1C9A"/>
    <w:rsid w:val="003A2720"/>
    <w:rsid w:val="003A2BD1"/>
    <w:rsid w:val="003A2C68"/>
    <w:rsid w:val="003A45A7"/>
    <w:rsid w:val="003A4989"/>
    <w:rsid w:val="003A524C"/>
    <w:rsid w:val="003A5763"/>
    <w:rsid w:val="003A5C5E"/>
    <w:rsid w:val="003A5D4E"/>
    <w:rsid w:val="003A6659"/>
    <w:rsid w:val="003A69F6"/>
    <w:rsid w:val="003A6B08"/>
    <w:rsid w:val="003A7FE5"/>
    <w:rsid w:val="003B0A3C"/>
    <w:rsid w:val="003B0F81"/>
    <w:rsid w:val="003B2597"/>
    <w:rsid w:val="003B284B"/>
    <w:rsid w:val="003B3980"/>
    <w:rsid w:val="003B4500"/>
    <w:rsid w:val="003B4509"/>
    <w:rsid w:val="003B4559"/>
    <w:rsid w:val="003B4BB0"/>
    <w:rsid w:val="003B5DF4"/>
    <w:rsid w:val="003B60D4"/>
    <w:rsid w:val="003B6A32"/>
    <w:rsid w:val="003B7003"/>
    <w:rsid w:val="003B7165"/>
    <w:rsid w:val="003B7AD5"/>
    <w:rsid w:val="003B7BEF"/>
    <w:rsid w:val="003B7D7D"/>
    <w:rsid w:val="003C0139"/>
    <w:rsid w:val="003C0D40"/>
    <w:rsid w:val="003C1027"/>
    <w:rsid w:val="003C12A1"/>
    <w:rsid w:val="003C2195"/>
    <w:rsid w:val="003C21F0"/>
    <w:rsid w:val="003C22AF"/>
    <w:rsid w:val="003C2C43"/>
    <w:rsid w:val="003C341B"/>
    <w:rsid w:val="003C3E73"/>
    <w:rsid w:val="003C3F3C"/>
    <w:rsid w:val="003C4FAA"/>
    <w:rsid w:val="003C62F3"/>
    <w:rsid w:val="003C79DF"/>
    <w:rsid w:val="003D0E38"/>
    <w:rsid w:val="003D12CE"/>
    <w:rsid w:val="003D1420"/>
    <w:rsid w:val="003D1586"/>
    <w:rsid w:val="003D1D89"/>
    <w:rsid w:val="003D1F7F"/>
    <w:rsid w:val="003D22E1"/>
    <w:rsid w:val="003D24F9"/>
    <w:rsid w:val="003D2538"/>
    <w:rsid w:val="003D36AD"/>
    <w:rsid w:val="003D3CA6"/>
    <w:rsid w:val="003D4768"/>
    <w:rsid w:val="003D4BC1"/>
    <w:rsid w:val="003D4F44"/>
    <w:rsid w:val="003D550C"/>
    <w:rsid w:val="003D7572"/>
    <w:rsid w:val="003D7EEF"/>
    <w:rsid w:val="003E08A5"/>
    <w:rsid w:val="003E08C9"/>
    <w:rsid w:val="003E0E10"/>
    <w:rsid w:val="003E18D2"/>
    <w:rsid w:val="003E289D"/>
    <w:rsid w:val="003E2CB7"/>
    <w:rsid w:val="003E3757"/>
    <w:rsid w:val="003E3F0D"/>
    <w:rsid w:val="003E40FE"/>
    <w:rsid w:val="003E5399"/>
    <w:rsid w:val="003E5915"/>
    <w:rsid w:val="003E5CFF"/>
    <w:rsid w:val="003E5ED9"/>
    <w:rsid w:val="003E6826"/>
    <w:rsid w:val="003E6C85"/>
    <w:rsid w:val="003F00F4"/>
    <w:rsid w:val="003F03A8"/>
    <w:rsid w:val="003F041D"/>
    <w:rsid w:val="003F0CFB"/>
    <w:rsid w:val="003F1559"/>
    <w:rsid w:val="003F238F"/>
    <w:rsid w:val="003F37EF"/>
    <w:rsid w:val="003F435B"/>
    <w:rsid w:val="003F4DD4"/>
    <w:rsid w:val="003F53E6"/>
    <w:rsid w:val="003F56B9"/>
    <w:rsid w:val="003F5F7D"/>
    <w:rsid w:val="003F6347"/>
    <w:rsid w:val="003F67EF"/>
    <w:rsid w:val="003F6952"/>
    <w:rsid w:val="003F6CF5"/>
    <w:rsid w:val="003F6F42"/>
    <w:rsid w:val="003F74B1"/>
    <w:rsid w:val="003F74DA"/>
    <w:rsid w:val="003F7AE0"/>
    <w:rsid w:val="004001CC"/>
    <w:rsid w:val="0040224E"/>
    <w:rsid w:val="004024B7"/>
    <w:rsid w:val="0040370F"/>
    <w:rsid w:val="00406116"/>
    <w:rsid w:val="004065DA"/>
    <w:rsid w:val="004072A7"/>
    <w:rsid w:val="0040795D"/>
    <w:rsid w:val="00407B26"/>
    <w:rsid w:val="0041019E"/>
    <w:rsid w:val="0041031E"/>
    <w:rsid w:val="0041075E"/>
    <w:rsid w:val="00410CC5"/>
    <w:rsid w:val="0041118E"/>
    <w:rsid w:val="00412349"/>
    <w:rsid w:val="004126FA"/>
    <w:rsid w:val="00412DCE"/>
    <w:rsid w:val="00412E80"/>
    <w:rsid w:val="00413227"/>
    <w:rsid w:val="00413951"/>
    <w:rsid w:val="0041418E"/>
    <w:rsid w:val="004147F8"/>
    <w:rsid w:val="00414CC4"/>
    <w:rsid w:val="00415EC3"/>
    <w:rsid w:val="00420E89"/>
    <w:rsid w:val="00421C0A"/>
    <w:rsid w:val="004222F6"/>
    <w:rsid w:val="004226D5"/>
    <w:rsid w:val="00422C36"/>
    <w:rsid w:val="00423785"/>
    <w:rsid w:val="00425817"/>
    <w:rsid w:val="00426263"/>
    <w:rsid w:val="00427409"/>
    <w:rsid w:val="00430999"/>
    <w:rsid w:val="0043264E"/>
    <w:rsid w:val="004330CB"/>
    <w:rsid w:val="00433AD1"/>
    <w:rsid w:val="00434E3E"/>
    <w:rsid w:val="00434F92"/>
    <w:rsid w:val="004352AF"/>
    <w:rsid w:val="00436B38"/>
    <w:rsid w:val="00436D43"/>
    <w:rsid w:val="00437A7A"/>
    <w:rsid w:val="00437E1B"/>
    <w:rsid w:val="00441D44"/>
    <w:rsid w:val="00442C60"/>
    <w:rsid w:val="00443377"/>
    <w:rsid w:val="00443D07"/>
    <w:rsid w:val="0044430E"/>
    <w:rsid w:val="00444E77"/>
    <w:rsid w:val="0044545F"/>
    <w:rsid w:val="0044563E"/>
    <w:rsid w:val="00445A69"/>
    <w:rsid w:val="00446C33"/>
    <w:rsid w:val="004472A7"/>
    <w:rsid w:val="004478BB"/>
    <w:rsid w:val="00450B71"/>
    <w:rsid w:val="00451CF1"/>
    <w:rsid w:val="00452BBA"/>
    <w:rsid w:val="00452BBF"/>
    <w:rsid w:val="0045340D"/>
    <w:rsid w:val="00453D66"/>
    <w:rsid w:val="0045488D"/>
    <w:rsid w:val="00456290"/>
    <w:rsid w:val="00456DD1"/>
    <w:rsid w:val="00457975"/>
    <w:rsid w:val="004600C2"/>
    <w:rsid w:val="0046059F"/>
    <w:rsid w:val="0046149B"/>
    <w:rsid w:val="0046166C"/>
    <w:rsid w:val="00461689"/>
    <w:rsid w:val="004616F3"/>
    <w:rsid w:val="0046179A"/>
    <w:rsid w:val="0046206D"/>
    <w:rsid w:val="00462C7C"/>
    <w:rsid w:val="00462E68"/>
    <w:rsid w:val="00462E86"/>
    <w:rsid w:val="00464459"/>
    <w:rsid w:val="004645E2"/>
    <w:rsid w:val="00464C9E"/>
    <w:rsid w:val="0046516B"/>
    <w:rsid w:val="004658C9"/>
    <w:rsid w:val="004666C5"/>
    <w:rsid w:val="00466944"/>
    <w:rsid w:val="00467158"/>
    <w:rsid w:val="0046738C"/>
    <w:rsid w:val="00467897"/>
    <w:rsid w:val="00467B6D"/>
    <w:rsid w:val="004701A3"/>
    <w:rsid w:val="00470FD0"/>
    <w:rsid w:val="004723F4"/>
    <w:rsid w:val="00472D86"/>
    <w:rsid w:val="004730E7"/>
    <w:rsid w:val="004734ED"/>
    <w:rsid w:val="0047394F"/>
    <w:rsid w:val="004744E7"/>
    <w:rsid w:val="00474D58"/>
    <w:rsid w:val="00475503"/>
    <w:rsid w:val="00475928"/>
    <w:rsid w:val="00477466"/>
    <w:rsid w:val="004775A0"/>
    <w:rsid w:val="0047768D"/>
    <w:rsid w:val="00477692"/>
    <w:rsid w:val="0047783C"/>
    <w:rsid w:val="00477C42"/>
    <w:rsid w:val="00477DD1"/>
    <w:rsid w:val="00477F85"/>
    <w:rsid w:val="004802C2"/>
    <w:rsid w:val="00480BCC"/>
    <w:rsid w:val="00481808"/>
    <w:rsid w:val="00481F9B"/>
    <w:rsid w:val="00483E44"/>
    <w:rsid w:val="0048431E"/>
    <w:rsid w:val="0048443A"/>
    <w:rsid w:val="00484446"/>
    <w:rsid w:val="00484CA5"/>
    <w:rsid w:val="00485228"/>
    <w:rsid w:val="004864A5"/>
    <w:rsid w:val="00486ED9"/>
    <w:rsid w:val="004905BD"/>
    <w:rsid w:val="00491188"/>
    <w:rsid w:val="00491A42"/>
    <w:rsid w:val="00491EB3"/>
    <w:rsid w:val="0049226D"/>
    <w:rsid w:val="00493382"/>
    <w:rsid w:val="0049382C"/>
    <w:rsid w:val="0049384E"/>
    <w:rsid w:val="0049412C"/>
    <w:rsid w:val="0049484F"/>
    <w:rsid w:val="00495381"/>
    <w:rsid w:val="004A178B"/>
    <w:rsid w:val="004A25AC"/>
    <w:rsid w:val="004A2857"/>
    <w:rsid w:val="004A397C"/>
    <w:rsid w:val="004A4A0A"/>
    <w:rsid w:val="004A4A9E"/>
    <w:rsid w:val="004A4E5C"/>
    <w:rsid w:val="004A51F7"/>
    <w:rsid w:val="004A60BC"/>
    <w:rsid w:val="004A7029"/>
    <w:rsid w:val="004A7F89"/>
    <w:rsid w:val="004B02FF"/>
    <w:rsid w:val="004B0858"/>
    <w:rsid w:val="004B1596"/>
    <w:rsid w:val="004B1633"/>
    <w:rsid w:val="004B16E1"/>
    <w:rsid w:val="004B2706"/>
    <w:rsid w:val="004B31A4"/>
    <w:rsid w:val="004B393F"/>
    <w:rsid w:val="004B5688"/>
    <w:rsid w:val="004B764F"/>
    <w:rsid w:val="004B785A"/>
    <w:rsid w:val="004B7C66"/>
    <w:rsid w:val="004C07EB"/>
    <w:rsid w:val="004C18D2"/>
    <w:rsid w:val="004C1BE8"/>
    <w:rsid w:val="004C28B2"/>
    <w:rsid w:val="004C3591"/>
    <w:rsid w:val="004C39B4"/>
    <w:rsid w:val="004C3BF3"/>
    <w:rsid w:val="004C4A1D"/>
    <w:rsid w:val="004C50A9"/>
    <w:rsid w:val="004C5895"/>
    <w:rsid w:val="004C5E20"/>
    <w:rsid w:val="004C6D06"/>
    <w:rsid w:val="004D0795"/>
    <w:rsid w:val="004D0D1E"/>
    <w:rsid w:val="004D0F12"/>
    <w:rsid w:val="004D0FAA"/>
    <w:rsid w:val="004D1E8C"/>
    <w:rsid w:val="004D36BD"/>
    <w:rsid w:val="004D379A"/>
    <w:rsid w:val="004D38D8"/>
    <w:rsid w:val="004D3BAE"/>
    <w:rsid w:val="004D3BCA"/>
    <w:rsid w:val="004D4A1A"/>
    <w:rsid w:val="004D58F3"/>
    <w:rsid w:val="004D5A4C"/>
    <w:rsid w:val="004D5E8A"/>
    <w:rsid w:val="004D69EB"/>
    <w:rsid w:val="004D6EA7"/>
    <w:rsid w:val="004D73F1"/>
    <w:rsid w:val="004E12B1"/>
    <w:rsid w:val="004E14CA"/>
    <w:rsid w:val="004E1820"/>
    <w:rsid w:val="004E314F"/>
    <w:rsid w:val="004E33FA"/>
    <w:rsid w:val="004E38A1"/>
    <w:rsid w:val="004E3EB8"/>
    <w:rsid w:val="004E42A8"/>
    <w:rsid w:val="004E434D"/>
    <w:rsid w:val="004E43BE"/>
    <w:rsid w:val="004E447D"/>
    <w:rsid w:val="004E67E6"/>
    <w:rsid w:val="004E6919"/>
    <w:rsid w:val="004E6BEE"/>
    <w:rsid w:val="004E6EB7"/>
    <w:rsid w:val="004E73EF"/>
    <w:rsid w:val="004E76CB"/>
    <w:rsid w:val="004E7AD1"/>
    <w:rsid w:val="004E7BBF"/>
    <w:rsid w:val="004F10E0"/>
    <w:rsid w:val="004F15E3"/>
    <w:rsid w:val="004F16F6"/>
    <w:rsid w:val="004F1B63"/>
    <w:rsid w:val="004F1C7A"/>
    <w:rsid w:val="004F1D60"/>
    <w:rsid w:val="004F1DC3"/>
    <w:rsid w:val="004F2105"/>
    <w:rsid w:val="004F30E4"/>
    <w:rsid w:val="004F39A1"/>
    <w:rsid w:val="004F3F67"/>
    <w:rsid w:val="004F4117"/>
    <w:rsid w:val="004F43EE"/>
    <w:rsid w:val="004F4D18"/>
    <w:rsid w:val="004F4D19"/>
    <w:rsid w:val="004F53CF"/>
    <w:rsid w:val="004F584E"/>
    <w:rsid w:val="004F5A89"/>
    <w:rsid w:val="004F6007"/>
    <w:rsid w:val="004F74FA"/>
    <w:rsid w:val="004F7707"/>
    <w:rsid w:val="004F772F"/>
    <w:rsid w:val="004F7C32"/>
    <w:rsid w:val="005002CF"/>
    <w:rsid w:val="00500333"/>
    <w:rsid w:val="00500DAD"/>
    <w:rsid w:val="005016D8"/>
    <w:rsid w:val="00501F7C"/>
    <w:rsid w:val="005021BD"/>
    <w:rsid w:val="00502925"/>
    <w:rsid w:val="00502D2E"/>
    <w:rsid w:val="00503AEF"/>
    <w:rsid w:val="00503B40"/>
    <w:rsid w:val="0050408F"/>
    <w:rsid w:val="0050442C"/>
    <w:rsid w:val="00506314"/>
    <w:rsid w:val="00506328"/>
    <w:rsid w:val="005065C0"/>
    <w:rsid w:val="00507356"/>
    <w:rsid w:val="0050787E"/>
    <w:rsid w:val="00507B12"/>
    <w:rsid w:val="00507D46"/>
    <w:rsid w:val="005105E8"/>
    <w:rsid w:val="005114ED"/>
    <w:rsid w:val="00511782"/>
    <w:rsid w:val="00512443"/>
    <w:rsid w:val="005125C8"/>
    <w:rsid w:val="00512630"/>
    <w:rsid w:val="00512E90"/>
    <w:rsid w:val="00513009"/>
    <w:rsid w:val="005134D6"/>
    <w:rsid w:val="005148B6"/>
    <w:rsid w:val="00515351"/>
    <w:rsid w:val="00515797"/>
    <w:rsid w:val="00515CB3"/>
    <w:rsid w:val="005163E4"/>
    <w:rsid w:val="00516CF0"/>
    <w:rsid w:val="00516D94"/>
    <w:rsid w:val="0051701E"/>
    <w:rsid w:val="005173C6"/>
    <w:rsid w:val="005204FD"/>
    <w:rsid w:val="0052087C"/>
    <w:rsid w:val="00520D25"/>
    <w:rsid w:val="00522319"/>
    <w:rsid w:val="005224DF"/>
    <w:rsid w:val="005229FC"/>
    <w:rsid w:val="00522B05"/>
    <w:rsid w:val="00522B81"/>
    <w:rsid w:val="0052362D"/>
    <w:rsid w:val="00523DBF"/>
    <w:rsid w:val="00523DF0"/>
    <w:rsid w:val="00524421"/>
    <w:rsid w:val="0052454E"/>
    <w:rsid w:val="00524CDB"/>
    <w:rsid w:val="00524E73"/>
    <w:rsid w:val="00525B69"/>
    <w:rsid w:val="0052692C"/>
    <w:rsid w:val="0052748D"/>
    <w:rsid w:val="00527EC5"/>
    <w:rsid w:val="005301A6"/>
    <w:rsid w:val="00530824"/>
    <w:rsid w:val="00530871"/>
    <w:rsid w:val="00530D57"/>
    <w:rsid w:val="00531349"/>
    <w:rsid w:val="0053150C"/>
    <w:rsid w:val="005319BF"/>
    <w:rsid w:val="00531BA3"/>
    <w:rsid w:val="00532746"/>
    <w:rsid w:val="00532921"/>
    <w:rsid w:val="00532C1A"/>
    <w:rsid w:val="005331E3"/>
    <w:rsid w:val="00533699"/>
    <w:rsid w:val="005336E6"/>
    <w:rsid w:val="00533B56"/>
    <w:rsid w:val="00533BDC"/>
    <w:rsid w:val="00533C4A"/>
    <w:rsid w:val="005346F5"/>
    <w:rsid w:val="00534AA6"/>
    <w:rsid w:val="005360E4"/>
    <w:rsid w:val="00536789"/>
    <w:rsid w:val="00536B4B"/>
    <w:rsid w:val="0053739B"/>
    <w:rsid w:val="0054096E"/>
    <w:rsid w:val="00540EA9"/>
    <w:rsid w:val="005412D5"/>
    <w:rsid w:val="00541643"/>
    <w:rsid w:val="00541DB3"/>
    <w:rsid w:val="00543D0F"/>
    <w:rsid w:val="0054429C"/>
    <w:rsid w:val="00544446"/>
    <w:rsid w:val="005446CB"/>
    <w:rsid w:val="0054579D"/>
    <w:rsid w:val="005461FC"/>
    <w:rsid w:val="00546B64"/>
    <w:rsid w:val="0054708A"/>
    <w:rsid w:val="005472B8"/>
    <w:rsid w:val="005478D1"/>
    <w:rsid w:val="005479F2"/>
    <w:rsid w:val="00551164"/>
    <w:rsid w:val="00552B66"/>
    <w:rsid w:val="005556AE"/>
    <w:rsid w:val="00555748"/>
    <w:rsid w:val="005568F5"/>
    <w:rsid w:val="005569D0"/>
    <w:rsid w:val="00556A1E"/>
    <w:rsid w:val="00556A97"/>
    <w:rsid w:val="00557456"/>
    <w:rsid w:val="0055750B"/>
    <w:rsid w:val="005579D5"/>
    <w:rsid w:val="00557CE9"/>
    <w:rsid w:val="00560834"/>
    <w:rsid w:val="00560CB7"/>
    <w:rsid w:val="00560F68"/>
    <w:rsid w:val="00561111"/>
    <w:rsid w:val="00561352"/>
    <w:rsid w:val="00561A48"/>
    <w:rsid w:val="00561F38"/>
    <w:rsid w:val="00562A02"/>
    <w:rsid w:val="00562DEC"/>
    <w:rsid w:val="00562EC8"/>
    <w:rsid w:val="005644CE"/>
    <w:rsid w:val="005645AB"/>
    <w:rsid w:val="00564E09"/>
    <w:rsid w:val="00566660"/>
    <w:rsid w:val="00566878"/>
    <w:rsid w:val="00566928"/>
    <w:rsid w:val="00566DEF"/>
    <w:rsid w:val="00566FE3"/>
    <w:rsid w:val="005670E8"/>
    <w:rsid w:val="005675BF"/>
    <w:rsid w:val="00570D14"/>
    <w:rsid w:val="00571044"/>
    <w:rsid w:val="0057168F"/>
    <w:rsid w:val="00571D3B"/>
    <w:rsid w:val="00572F00"/>
    <w:rsid w:val="00572FBE"/>
    <w:rsid w:val="00573439"/>
    <w:rsid w:val="00573682"/>
    <w:rsid w:val="00573C4A"/>
    <w:rsid w:val="00574000"/>
    <w:rsid w:val="0057548D"/>
    <w:rsid w:val="00575C59"/>
    <w:rsid w:val="00576230"/>
    <w:rsid w:val="0057664F"/>
    <w:rsid w:val="0057670B"/>
    <w:rsid w:val="005776A4"/>
    <w:rsid w:val="00577860"/>
    <w:rsid w:val="00580AA0"/>
    <w:rsid w:val="00580DE5"/>
    <w:rsid w:val="00581547"/>
    <w:rsid w:val="005815AF"/>
    <w:rsid w:val="00581B13"/>
    <w:rsid w:val="00582608"/>
    <w:rsid w:val="00582FC6"/>
    <w:rsid w:val="00583F25"/>
    <w:rsid w:val="0058437C"/>
    <w:rsid w:val="005846D9"/>
    <w:rsid w:val="005849A1"/>
    <w:rsid w:val="00584D27"/>
    <w:rsid w:val="005856E3"/>
    <w:rsid w:val="00585908"/>
    <w:rsid w:val="00585D58"/>
    <w:rsid w:val="00585EB5"/>
    <w:rsid w:val="00585EF3"/>
    <w:rsid w:val="00587213"/>
    <w:rsid w:val="00587251"/>
    <w:rsid w:val="005877E4"/>
    <w:rsid w:val="00590B14"/>
    <w:rsid w:val="00590B1C"/>
    <w:rsid w:val="00590BF8"/>
    <w:rsid w:val="005910FE"/>
    <w:rsid w:val="005912C7"/>
    <w:rsid w:val="00591448"/>
    <w:rsid w:val="0059168B"/>
    <w:rsid w:val="005920D1"/>
    <w:rsid w:val="0059299C"/>
    <w:rsid w:val="00593044"/>
    <w:rsid w:val="00593B8B"/>
    <w:rsid w:val="00593F3A"/>
    <w:rsid w:val="00594436"/>
    <w:rsid w:val="00594E5F"/>
    <w:rsid w:val="005967B1"/>
    <w:rsid w:val="005969B3"/>
    <w:rsid w:val="00596EF5"/>
    <w:rsid w:val="005A00BC"/>
    <w:rsid w:val="005A18E6"/>
    <w:rsid w:val="005A1DAE"/>
    <w:rsid w:val="005A2BAE"/>
    <w:rsid w:val="005A31A0"/>
    <w:rsid w:val="005A3A87"/>
    <w:rsid w:val="005A4521"/>
    <w:rsid w:val="005A4747"/>
    <w:rsid w:val="005A48A3"/>
    <w:rsid w:val="005A58FE"/>
    <w:rsid w:val="005A5E75"/>
    <w:rsid w:val="005A5FB3"/>
    <w:rsid w:val="005A6AB8"/>
    <w:rsid w:val="005A79A0"/>
    <w:rsid w:val="005A7B3E"/>
    <w:rsid w:val="005B06B9"/>
    <w:rsid w:val="005B1AE2"/>
    <w:rsid w:val="005B1D9F"/>
    <w:rsid w:val="005B2C5E"/>
    <w:rsid w:val="005B3686"/>
    <w:rsid w:val="005B4235"/>
    <w:rsid w:val="005B4307"/>
    <w:rsid w:val="005B48B9"/>
    <w:rsid w:val="005B4E80"/>
    <w:rsid w:val="005B5435"/>
    <w:rsid w:val="005B5802"/>
    <w:rsid w:val="005B5CC7"/>
    <w:rsid w:val="005B5D32"/>
    <w:rsid w:val="005B6B8E"/>
    <w:rsid w:val="005B7385"/>
    <w:rsid w:val="005B73D6"/>
    <w:rsid w:val="005B78B6"/>
    <w:rsid w:val="005B7F1F"/>
    <w:rsid w:val="005C15E2"/>
    <w:rsid w:val="005C1C9D"/>
    <w:rsid w:val="005C25EA"/>
    <w:rsid w:val="005C27B0"/>
    <w:rsid w:val="005C27F6"/>
    <w:rsid w:val="005C35CB"/>
    <w:rsid w:val="005C3F35"/>
    <w:rsid w:val="005C4376"/>
    <w:rsid w:val="005C46C2"/>
    <w:rsid w:val="005C5A32"/>
    <w:rsid w:val="005C6393"/>
    <w:rsid w:val="005C67AD"/>
    <w:rsid w:val="005C7022"/>
    <w:rsid w:val="005C7048"/>
    <w:rsid w:val="005C7736"/>
    <w:rsid w:val="005D0528"/>
    <w:rsid w:val="005D0591"/>
    <w:rsid w:val="005D0B47"/>
    <w:rsid w:val="005D10E1"/>
    <w:rsid w:val="005D11A9"/>
    <w:rsid w:val="005D12FC"/>
    <w:rsid w:val="005D1D54"/>
    <w:rsid w:val="005D2748"/>
    <w:rsid w:val="005D2C65"/>
    <w:rsid w:val="005D30F9"/>
    <w:rsid w:val="005D4E49"/>
    <w:rsid w:val="005D4F94"/>
    <w:rsid w:val="005D57FC"/>
    <w:rsid w:val="005D6AA0"/>
    <w:rsid w:val="005D7625"/>
    <w:rsid w:val="005E0035"/>
    <w:rsid w:val="005E00C9"/>
    <w:rsid w:val="005E0417"/>
    <w:rsid w:val="005E0474"/>
    <w:rsid w:val="005E210B"/>
    <w:rsid w:val="005E245F"/>
    <w:rsid w:val="005E35D8"/>
    <w:rsid w:val="005E468D"/>
    <w:rsid w:val="005E4817"/>
    <w:rsid w:val="005E5313"/>
    <w:rsid w:val="005E5682"/>
    <w:rsid w:val="005E57E7"/>
    <w:rsid w:val="005E5C40"/>
    <w:rsid w:val="005E5FD6"/>
    <w:rsid w:val="005E7208"/>
    <w:rsid w:val="005E7505"/>
    <w:rsid w:val="005F036D"/>
    <w:rsid w:val="005F05BE"/>
    <w:rsid w:val="005F09B9"/>
    <w:rsid w:val="005F0A8F"/>
    <w:rsid w:val="005F1095"/>
    <w:rsid w:val="005F10B2"/>
    <w:rsid w:val="005F150B"/>
    <w:rsid w:val="005F1C01"/>
    <w:rsid w:val="005F1E61"/>
    <w:rsid w:val="005F20AA"/>
    <w:rsid w:val="005F277B"/>
    <w:rsid w:val="005F2805"/>
    <w:rsid w:val="005F2870"/>
    <w:rsid w:val="005F2E00"/>
    <w:rsid w:val="005F3646"/>
    <w:rsid w:val="005F39A8"/>
    <w:rsid w:val="005F39C0"/>
    <w:rsid w:val="005F4018"/>
    <w:rsid w:val="005F4C96"/>
    <w:rsid w:val="005F4EFF"/>
    <w:rsid w:val="005F52F5"/>
    <w:rsid w:val="005F5AD4"/>
    <w:rsid w:val="005F5D6F"/>
    <w:rsid w:val="005F5E83"/>
    <w:rsid w:val="005F6AB9"/>
    <w:rsid w:val="005F7AA5"/>
    <w:rsid w:val="005F7B9F"/>
    <w:rsid w:val="005F7BE6"/>
    <w:rsid w:val="0060111F"/>
    <w:rsid w:val="00601254"/>
    <w:rsid w:val="00602306"/>
    <w:rsid w:val="00602404"/>
    <w:rsid w:val="0060292F"/>
    <w:rsid w:val="00602C56"/>
    <w:rsid w:val="00603272"/>
    <w:rsid w:val="006044C6"/>
    <w:rsid w:val="00604556"/>
    <w:rsid w:val="00606500"/>
    <w:rsid w:val="00606E92"/>
    <w:rsid w:val="006070FF"/>
    <w:rsid w:val="0060744B"/>
    <w:rsid w:val="00607873"/>
    <w:rsid w:val="00610651"/>
    <w:rsid w:val="006109E1"/>
    <w:rsid w:val="00610F4B"/>
    <w:rsid w:val="00610F52"/>
    <w:rsid w:val="00611E76"/>
    <w:rsid w:val="0061270A"/>
    <w:rsid w:val="00613B6D"/>
    <w:rsid w:val="00615249"/>
    <w:rsid w:val="006158A6"/>
    <w:rsid w:val="00615F90"/>
    <w:rsid w:val="00616312"/>
    <w:rsid w:val="00616488"/>
    <w:rsid w:val="00617966"/>
    <w:rsid w:val="006204F3"/>
    <w:rsid w:val="00620CAA"/>
    <w:rsid w:val="00620F16"/>
    <w:rsid w:val="00621A02"/>
    <w:rsid w:val="00623403"/>
    <w:rsid w:val="00623615"/>
    <w:rsid w:val="00624C88"/>
    <w:rsid w:val="00625377"/>
    <w:rsid w:val="00627933"/>
    <w:rsid w:val="00627D71"/>
    <w:rsid w:val="006306EE"/>
    <w:rsid w:val="00630A5D"/>
    <w:rsid w:val="00630B42"/>
    <w:rsid w:val="0063107A"/>
    <w:rsid w:val="00631182"/>
    <w:rsid w:val="006316B4"/>
    <w:rsid w:val="00632B79"/>
    <w:rsid w:val="00635A26"/>
    <w:rsid w:val="00635CEF"/>
    <w:rsid w:val="0063655E"/>
    <w:rsid w:val="006368A3"/>
    <w:rsid w:val="00636CBE"/>
    <w:rsid w:val="00636E72"/>
    <w:rsid w:val="006379D7"/>
    <w:rsid w:val="00637E5A"/>
    <w:rsid w:val="006403C7"/>
    <w:rsid w:val="00640A48"/>
    <w:rsid w:val="006417FA"/>
    <w:rsid w:val="0064196A"/>
    <w:rsid w:val="006422DC"/>
    <w:rsid w:val="00642BD5"/>
    <w:rsid w:val="00642F56"/>
    <w:rsid w:val="006431D1"/>
    <w:rsid w:val="0064404D"/>
    <w:rsid w:val="006440C7"/>
    <w:rsid w:val="0064430B"/>
    <w:rsid w:val="006451A9"/>
    <w:rsid w:val="006451E5"/>
    <w:rsid w:val="00645210"/>
    <w:rsid w:val="00645E84"/>
    <w:rsid w:val="00646150"/>
    <w:rsid w:val="006470FA"/>
    <w:rsid w:val="00647118"/>
    <w:rsid w:val="00647905"/>
    <w:rsid w:val="0065284B"/>
    <w:rsid w:val="0065376E"/>
    <w:rsid w:val="00653F6C"/>
    <w:rsid w:val="006541D4"/>
    <w:rsid w:val="006559F6"/>
    <w:rsid w:val="00655DDB"/>
    <w:rsid w:val="00656A27"/>
    <w:rsid w:val="00656B8B"/>
    <w:rsid w:val="006604E6"/>
    <w:rsid w:val="00660FF6"/>
    <w:rsid w:val="006612BE"/>
    <w:rsid w:val="0066231A"/>
    <w:rsid w:val="00662FF2"/>
    <w:rsid w:val="00663760"/>
    <w:rsid w:val="00663BA5"/>
    <w:rsid w:val="00664085"/>
    <w:rsid w:val="00664596"/>
    <w:rsid w:val="0066573E"/>
    <w:rsid w:val="0066685B"/>
    <w:rsid w:val="00666ACE"/>
    <w:rsid w:val="006672A8"/>
    <w:rsid w:val="0066760D"/>
    <w:rsid w:val="00667666"/>
    <w:rsid w:val="00667C01"/>
    <w:rsid w:val="00667CB6"/>
    <w:rsid w:val="00667E56"/>
    <w:rsid w:val="00670BA3"/>
    <w:rsid w:val="006711DB"/>
    <w:rsid w:val="00671CDE"/>
    <w:rsid w:val="00672229"/>
    <w:rsid w:val="00672280"/>
    <w:rsid w:val="00672361"/>
    <w:rsid w:val="00673991"/>
    <w:rsid w:val="00674435"/>
    <w:rsid w:val="00675B66"/>
    <w:rsid w:val="00676112"/>
    <w:rsid w:val="00676915"/>
    <w:rsid w:val="00677910"/>
    <w:rsid w:val="00677915"/>
    <w:rsid w:val="00677A34"/>
    <w:rsid w:val="006800C7"/>
    <w:rsid w:val="00680285"/>
    <w:rsid w:val="00680CCC"/>
    <w:rsid w:val="0068153E"/>
    <w:rsid w:val="006817B1"/>
    <w:rsid w:val="00681F1E"/>
    <w:rsid w:val="0068274B"/>
    <w:rsid w:val="006827A0"/>
    <w:rsid w:val="00682ED6"/>
    <w:rsid w:val="00682FC3"/>
    <w:rsid w:val="006834F0"/>
    <w:rsid w:val="00683C63"/>
    <w:rsid w:val="006846B2"/>
    <w:rsid w:val="00684D49"/>
    <w:rsid w:val="00684DBB"/>
    <w:rsid w:val="00685A6E"/>
    <w:rsid w:val="00686FBD"/>
    <w:rsid w:val="00687174"/>
    <w:rsid w:val="006871C0"/>
    <w:rsid w:val="006871CE"/>
    <w:rsid w:val="006874A7"/>
    <w:rsid w:val="00690594"/>
    <w:rsid w:val="00690DA9"/>
    <w:rsid w:val="0069135A"/>
    <w:rsid w:val="0069136C"/>
    <w:rsid w:val="006920A4"/>
    <w:rsid w:val="0069225D"/>
    <w:rsid w:val="006923A5"/>
    <w:rsid w:val="006929A3"/>
    <w:rsid w:val="00692CC8"/>
    <w:rsid w:val="0069310A"/>
    <w:rsid w:val="00693574"/>
    <w:rsid w:val="00694091"/>
    <w:rsid w:val="006942C7"/>
    <w:rsid w:val="00694513"/>
    <w:rsid w:val="00695114"/>
    <w:rsid w:val="0069581A"/>
    <w:rsid w:val="00697087"/>
    <w:rsid w:val="006974E7"/>
    <w:rsid w:val="006A0170"/>
    <w:rsid w:val="006A03A9"/>
    <w:rsid w:val="006A06FE"/>
    <w:rsid w:val="006A0724"/>
    <w:rsid w:val="006A07D6"/>
    <w:rsid w:val="006A13D7"/>
    <w:rsid w:val="006A1709"/>
    <w:rsid w:val="006A23F6"/>
    <w:rsid w:val="006A27B8"/>
    <w:rsid w:val="006A31CA"/>
    <w:rsid w:val="006A38DB"/>
    <w:rsid w:val="006A4060"/>
    <w:rsid w:val="006A4A1C"/>
    <w:rsid w:val="006A56C2"/>
    <w:rsid w:val="006A6768"/>
    <w:rsid w:val="006A69AF"/>
    <w:rsid w:val="006A6A76"/>
    <w:rsid w:val="006A74F8"/>
    <w:rsid w:val="006A762D"/>
    <w:rsid w:val="006A7702"/>
    <w:rsid w:val="006B026D"/>
    <w:rsid w:val="006B03D8"/>
    <w:rsid w:val="006B0B7A"/>
    <w:rsid w:val="006B1A4F"/>
    <w:rsid w:val="006B22B3"/>
    <w:rsid w:val="006B2EEE"/>
    <w:rsid w:val="006B32B6"/>
    <w:rsid w:val="006B3F5A"/>
    <w:rsid w:val="006B4792"/>
    <w:rsid w:val="006B4F13"/>
    <w:rsid w:val="006B5470"/>
    <w:rsid w:val="006B58C0"/>
    <w:rsid w:val="006B5B45"/>
    <w:rsid w:val="006B672D"/>
    <w:rsid w:val="006B768D"/>
    <w:rsid w:val="006B7D57"/>
    <w:rsid w:val="006B7DB8"/>
    <w:rsid w:val="006C0355"/>
    <w:rsid w:val="006C2303"/>
    <w:rsid w:val="006C31AA"/>
    <w:rsid w:val="006C3413"/>
    <w:rsid w:val="006C369B"/>
    <w:rsid w:val="006C3AF8"/>
    <w:rsid w:val="006C49F0"/>
    <w:rsid w:val="006C4BEA"/>
    <w:rsid w:val="006C4C8C"/>
    <w:rsid w:val="006C4D46"/>
    <w:rsid w:val="006C5970"/>
    <w:rsid w:val="006C6B88"/>
    <w:rsid w:val="006C6FA1"/>
    <w:rsid w:val="006C7515"/>
    <w:rsid w:val="006D17C5"/>
    <w:rsid w:val="006D1CA0"/>
    <w:rsid w:val="006D2D58"/>
    <w:rsid w:val="006D3A62"/>
    <w:rsid w:val="006D4B88"/>
    <w:rsid w:val="006D4E99"/>
    <w:rsid w:val="006D5C5E"/>
    <w:rsid w:val="006D6206"/>
    <w:rsid w:val="006D77E2"/>
    <w:rsid w:val="006D7EE5"/>
    <w:rsid w:val="006E1C35"/>
    <w:rsid w:val="006E306E"/>
    <w:rsid w:val="006E30BF"/>
    <w:rsid w:val="006E3BD2"/>
    <w:rsid w:val="006E3D7B"/>
    <w:rsid w:val="006E4916"/>
    <w:rsid w:val="006E51C6"/>
    <w:rsid w:val="006E73EF"/>
    <w:rsid w:val="006E7538"/>
    <w:rsid w:val="006E768D"/>
    <w:rsid w:val="006E7AA0"/>
    <w:rsid w:val="006F06A3"/>
    <w:rsid w:val="006F10B6"/>
    <w:rsid w:val="006F1D85"/>
    <w:rsid w:val="006F1EBE"/>
    <w:rsid w:val="006F331B"/>
    <w:rsid w:val="006F33CA"/>
    <w:rsid w:val="006F3E81"/>
    <w:rsid w:val="006F43CB"/>
    <w:rsid w:val="006F4442"/>
    <w:rsid w:val="006F5D77"/>
    <w:rsid w:val="006F5FD7"/>
    <w:rsid w:val="006F6B3B"/>
    <w:rsid w:val="006F7232"/>
    <w:rsid w:val="006F74F9"/>
    <w:rsid w:val="006F77F4"/>
    <w:rsid w:val="006F7A15"/>
    <w:rsid w:val="006F7AC2"/>
    <w:rsid w:val="00700532"/>
    <w:rsid w:val="0070061F"/>
    <w:rsid w:val="00701261"/>
    <w:rsid w:val="00701ABF"/>
    <w:rsid w:val="0070337D"/>
    <w:rsid w:val="00704759"/>
    <w:rsid w:val="00704828"/>
    <w:rsid w:val="00704CBB"/>
    <w:rsid w:val="007051CB"/>
    <w:rsid w:val="007053BA"/>
    <w:rsid w:val="00705E77"/>
    <w:rsid w:val="007066D8"/>
    <w:rsid w:val="007068AB"/>
    <w:rsid w:val="00706E37"/>
    <w:rsid w:val="00707657"/>
    <w:rsid w:val="007106B0"/>
    <w:rsid w:val="00711010"/>
    <w:rsid w:val="007115F2"/>
    <w:rsid w:val="00711C86"/>
    <w:rsid w:val="00714EF8"/>
    <w:rsid w:val="00715450"/>
    <w:rsid w:val="00715F0B"/>
    <w:rsid w:val="00716391"/>
    <w:rsid w:val="00716A38"/>
    <w:rsid w:val="00717372"/>
    <w:rsid w:val="007174CE"/>
    <w:rsid w:val="00720611"/>
    <w:rsid w:val="0072062C"/>
    <w:rsid w:val="00721089"/>
    <w:rsid w:val="007213FD"/>
    <w:rsid w:val="00721426"/>
    <w:rsid w:val="00721F05"/>
    <w:rsid w:val="00722137"/>
    <w:rsid w:val="0072325E"/>
    <w:rsid w:val="00723498"/>
    <w:rsid w:val="0072387E"/>
    <w:rsid w:val="00724717"/>
    <w:rsid w:val="00724EBF"/>
    <w:rsid w:val="007250D7"/>
    <w:rsid w:val="007254FF"/>
    <w:rsid w:val="00726E44"/>
    <w:rsid w:val="0072723C"/>
    <w:rsid w:val="0072737A"/>
    <w:rsid w:val="007275A5"/>
    <w:rsid w:val="00727B25"/>
    <w:rsid w:val="00727C51"/>
    <w:rsid w:val="00727DDC"/>
    <w:rsid w:val="00727FDC"/>
    <w:rsid w:val="00730222"/>
    <w:rsid w:val="00730367"/>
    <w:rsid w:val="007306E0"/>
    <w:rsid w:val="0073073A"/>
    <w:rsid w:val="00730821"/>
    <w:rsid w:val="00730FE8"/>
    <w:rsid w:val="007311A9"/>
    <w:rsid w:val="00731605"/>
    <w:rsid w:val="00731F2B"/>
    <w:rsid w:val="007323A6"/>
    <w:rsid w:val="00732AAF"/>
    <w:rsid w:val="00732EF4"/>
    <w:rsid w:val="0073335C"/>
    <w:rsid w:val="00733506"/>
    <w:rsid w:val="00734684"/>
    <w:rsid w:val="00734736"/>
    <w:rsid w:val="00734861"/>
    <w:rsid w:val="0073489A"/>
    <w:rsid w:val="00734A30"/>
    <w:rsid w:val="00734D4B"/>
    <w:rsid w:val="00734F0A"/>
    <w:rsid w:val="00735192"/>
    <w:rsid w:val="00736962"/>
    <w:rsid w:val="00736FDB"/>
    <w:rsid w:val="00737034"/>
    <w:rsid w:val="00737295"/>
    <w:rsid w:val="0073754C"/>
    <w:rsid w:val="00737963"/>
    <w:rsid w:val="0074015B"/>
    <w:rsid w:val="007401A8"/>
    <w:rsid w:val="007402C8"/>
    <w:rsid w:val="007405FE"/>
    <w:rsid w:val="007410E6"/>
    <w:rsid w:val="0074149E"/>
    <w:rsid w:val="007416A2"/>
    <w:rsid w:val="007417B2"/>
    <w:rsid w:val="00741CB5"/>
    <w:rsid w:val="00741F50"/>
    <w:rsid w:val="0074240F"/>
    <w:rsid w:val="00742F18"/>
    <w:rsid w:val="00743974"/>
    <w:rsid w:val="00743B62"/>
    <w:rsid w:val="007441D1"/>
    <w:rsid w:val="007448F5"/>
    <w:rsid w:val="00744EE1"/>
    <w:rsid w:val="00745AA3"/>
    <w:rsid w:val="00746179"/>
    <w:rsid w:val="00746243"/>
    <w:rsid w:val="007467D3"/>
    <w:rsid w:val="00747341"/>
    <w:rsid w:val="00747F68"/>
    <w:rsid w:val="00750677"/>
    <w:rsid w:val="00751C3D"/>
    <w:rsid w:val="007520EF"/>
    <w:rsid w:val="00752188"/>
    <w:rsid w:val="00752488"/>
    <w:rsid w:val="007532C2"/>
    <w:rsid w:val="007539A5"/>
    <w:rsid w:val="00754187"/>
    <w:rsid w:val="007542F9"/>
    <w:rsid w:val="0075505F"/>
    <w:rsid w:val="007557A7"/>
    <w:rsid w:val="0075747B"/>
    <w:rsid w:val="00757B2D"/>
    <w:rsid w:val="00760251"/>
    <w:rsid w:val="007604F7"/>
    <w:rsid w:val="00761C54"/>
    <w:rsid w:val="00762B46"/>
    <w:rsid w:val="00762E49"/>
    <w:rsid w:val="00763129"/>
    <w:rsid w:val="0076315B"/>
    <w:rsid w:val="007631EA"/>
    <w:rsid w:val="00763574"/>
    <w:rsid w:val="0076376A"/>
    <w:rsid w:val="00764369"/>
    <w:rsid w:val="00764921"/>
    <w:rsid w:val="00765050"/>
    <w:rsid w:val="00765309"/>
    <w:rsid w:val="00765C7F"/>
    <w:rsid w:val="00765C93"/>
    <w:rsid w:val="00765D0E"/>
    <w:rsid w:val="00765F88"/>
    <w:rsid w:val="00766408"/>
    <w:rsid w:val="00766A52"/>
    <w:rsid w:val="0076741F"/>
    <w:rsid w:val="00771557"/>
    <w:rsid w:val="00771C65"/>
    <w:rsid w:val="00772334"/>
    <w:rsid w:val="007729F7"/>
    <w:rsid w:val="007737BD"/>
    <w:rsid w:val="00774648"/>
    <w:rsid w:val="0077497B"/>
    <w:rsid w:val="00774F3C"/>
    <w:rsid w:val="0077548D"/>
    <w:rsid w:val="00776A3D"/>
    <w:rsid w:val="00776B1A"/>
    <w:rsid w:val="0077708C"/>
    <w:rsid w:val="0078053E"/>
    <w:rsid w:val="00781083"/>
    <w:rsid w:val="00781490"/>
    <w:rsid w:val="007818D1"/>
    <w:rsid w:val="00781B90"/>
    <w:rsid w:val="00781C9D"/>
    <w:rsid w:val="0078308C"/>
    <w:rsid w:val="007849FD"/>
    <w:rsid w:val="007859D0"/>
    <w:rsid w:val="00785A77"/>
    <w:rsid w:val="007862D2"/>
    <w:rsid w:val="0078684D"/>
    <w:rsid w:val="0078696C"/>
    <w:rsid w:val="00786A6C"/>
    <w:rsid w:val="00786C92"/>
    <w:rsid w:val="007876F3"/>
    <w:rsid w:val="007878B3"/>
    <w:rsid w:val="00790244"/>
    <w:rsid w:val="0079069B"/>
    <w:rsid w:val="0079110D"/>
    <w:rsid w:val="0079161B"/>
    <w:rsid w:val="00792AC6"/>
    <w:rsid w:val="00792FC6"/>
    <w:rsid w:val="00793D98"/>
    <w:rsid w:val="00793DEC"/>
    <w:rsid w:val="00794941"/>
    <w:rsid w:val="00795379"/>
    <w:rsid w:val="0079578E"/>
    <w:rsid w:val="0079581C"/>
    <w:rsid w:val="00795D7D"/>
    <w:rsid w:val="007966FA"/>
    <w:rsid w:val="00796840"/>
    <w:rsid w:val="00796CD6"/>
    <w:rsid w:val="00796EE1"/>
    <w:rsid w:val="00797850"/>
    <w:rsid w:val="0079793F"/>
    <w:rsid w:val="007A0057"/>
    <w:rsid w:val="007A0C97"/>
    <w:rsid w:val="007A116F"/>
    <w:rsid w:val="007A170A"/>
    <w:rsid w:val="007A17B4"/>
    <w:rsid w:val="007A219F"/>
    <w:rsid w:val="007A22DF"/>
    <w:rsid w:val="007A24E0"/>
    <w:rsid w:val="007A2CAB"/>
    <w:rsid w:val="007A3106"/>
    <w:rsid w:val="007A3222"/>
    <w:rsid w:val="007A3338"/>
    <w:rsid w:val="007A434C"/>
    <w:rsid w:val="007A4BD8"/>
    <w:rsid w:val="007A50C0"/>
    <w:rsid w:val="007A5E69"/>
    <w:rsid w:val="007A5F8C"/>
    <w:rsid w:val="007A6BB1"/>
    <w:rsid w:val="007A6DC0"/>
    <w:rsid w:val="007A6EF1"/>
    <w:rsid w:val="007A73AD"/>
    <w:rsid w:val="007A77D0"/>
    <w:rsid w:val="007A7912"/>
    <w:rsid w:val="007B0B60"/>
    <w:rsid w:val="007B0C22"/>
    <w:rsid w:val="007B2F7C"/>
    <w:rsid w:val="007B364A"/>
    <w:rsid w:val="007B3E84"/>
    <w:rsid w:val="007B4040"/>
    <w:rsid w:val="007B445A"/>
    <w:rsid w:val="007B4819"/>
    <w:rsid w:val="007B6030"/>
    <w:rsid w:val="007B7014"/>
    <w:rsid w:val="007B7313"/>
    <w:rsid w:val="007B77BC"/>
    <w:rsid w:val="007B7BC0"/>
    <w:rsid w:val="007C0868"/>
    <w:rsid w:val="007C0FC1"/>
    <w:rsid w:val="007C1AF1"/>
    <w:rsid w:val="007C1DF7"/>
    <w:rsid w:val="007C3069"/>
    <w:rsid w:val="007C3FCC"/>
    <w:rsid w:val="007C4FE8"/>
    <w:rsid w:val="007D24FE"/>
    <w:rsid w:val="007D2CA7"/>
    <w:rsid w:val="007D3888"/>
    <w:rsid w:val="007D3B85"/>
    <w:rsid w:val="007D60B0"/>
    <w:rsid w:val="007D6730"/>
    <w:rsid w:val="007D674D"/>
    <w:rsid w:val="007D6D0E"/>
    <w:rsid w:val="007D7186"/>
    <w:rsid w:val="007D7574"/>
    <w:rsid w:val="007D7959"/>
    <w:rsid w:val="007E0826"/>
    <w:rsid w:val="007E0929"/>
    <w:rsid w:val="007E0E1C"/>
    <w:rsid w:val="007E2182"/>
    <w:rsid w:val="007E21C0"/>
    <w:rsid w:val="007E238E"/>
    <w:rsid w:val="007E26A1"/>
    <w:rsid w:val="007E2A09"/>
    <w:rsid w:val="007E2D14"/>
    <w:rsid w:val="007E310F"/>
    <w:rsid w:val="007E3279"/>
    <w:rsid w:val="007E444B"/>
    <w:rsid w:val="007E4B4B"/>
    <w:rsid w:val="007E4DB7"/>
    <w:rsid w:val="007E51BC"/>
    <w:rsid w:val="007E6A40"/>
    <w:rsid w:val="007E7842"/>
    <w:rsid w:val="007F07EA"/>
    <w:rsid w:val="007F0E14"/>
    <w:rsid w:val="007F230E"/>
    <w:rsid w:val="007F2E51"/>
    <w:rsid w:val="007F3167"/>
    <w:rsid w:val="007F33C1"/>
    <w:rsid w:val="007F3DD8"/>
    <w:rsid w:val="007F5442"/>
    <w:rsid w:val="007F5DAA"/>
    <w:rsid w:val="007F609C"/>
    <w:rsid w:val="007F6209"/>
    <w:rsid w:val="007F7BB1"/>
    <w:rsid w:val="007F7EE4"/>
    <w:rsid w:val="00800104"/>
    <w:rsid w:val="0080074F"/>
    <w:rsid w:val="00800D3E"/>
    <w:rsid w:val="00800FB0"/>
    <w:rsid w:val="0080129A"/>
    <w:rsid w:val="00801330"/>
    <w:rsid w:val="00801616"/>
    <w:rsid w:val="00803120"/>
    <w:rsid w:val="0080352F"/>
    <w:rsid w:val="0080369F"/>
    <w:rsid w:val="0080397A"/>
    <w:rsid w:val="0080573D"/>
    <w:rsid w:val="0080693D"/>
    <w:rsid w:val="0080726F"/>
    <w:rsid w:val="00807A2F"/>
    <w:rsid w:val="00807F34"/>
    <w:rsid w:val="0081069F"/>
    <w:rsid w:val="00811D8C"/>
    <w:rsid w:val="0081271A"/>
    <w:rsid w:val="00812D5A"/>
    <w:rsid w:val="0081339A"/>
    <w:rsid w:val="0081362D"/>
    <w:rsid w:val="00813F98"/>
    <w:rsid w:val="00814903"/>
    <w:rsid w:val="00814915"/>
    <w:rsid w:val="008150D4"/>
    <w:rsid w:val="00815323"/>
    <w:rsid w:val="008154C5"/>
    <w:rsid w:val="00815B47"/>
    <w:rsid w:val="00816EB5"/>
    <w:rsid w:val="00817423"/>
    <w:rsid w:val="008174A6"/>
    <w:rsid w:val="00817AA0"/>
    <w:rsid w:val="00817AD0"/>
    <w:rsid w:val="00817F8A"/>
    <w:rsid w:val="008207AC"/>
    <w:rsid w:val="00820EAC"/>
    <w:rsid w:val="008226A7"/>
    <w:rsid w:val="00823476"/>
    <w:rsid w:val="008235B1"/>
    <w:rsid w:val="00823AC4"/>
    <w:rsid w:val="008241B2"/>
    <w:rsid w:val="008246FA"/>
    <w:rsid w:val="008248A2"/>
    <w:rsid w:val="00824C88"/>
    <w:rsid w:val="008257AE"/>
    <w:rsid w:val="00826BFA"/>
    <w:rsid w:val="00827380"/>
    <w:rsid w:val="00827BAB"/>
    <w:rsid w:val="00827F61"/>
    <w:rsid w:val="00827FBB"/>
    <w:rsid w:val="00830206"/>
    <w:rsid w:val="0083031F"/>
    <w:rsid w:val="0083055A"/>
    <w:rsid w:val="00831404"/>
    <w:rsid w:val="0083236C"/>
    <w:rsid w:val="008325AE"/>
    <w:rsid w:val="008328A1"/>
    <w:rsid w:val="00832C87"/>
    <w:rsid w:val="00833032"/>
    <w:rsid w:val="00833589"/>
    <w:rsid w:val="0083383E"/>
    <w:rsid w:val="00833BC7"/>
    <w:rsid w:val="00834291"/>
    <w:rsid w:val="0083447F"/>
    <w:rsid w:val="008344FB"/>
    <w:rsid w:val="0083451C"/>
    <w:rsid w:val="0083522E"/>
    <w:rsid w:val="008358EC"/>
    <w:rsid w:val="008368E0"/>
    <w:rsid w:val="00836BC8"/>
    <w:rsid w:val="00836FC3"/>
    <w:rsid w:val="00837473"/>
    <w:rsid w:val="00837E47"/>
    <w:rsid w:val="00837F24"/>
    <w:rsid w:val="0084068E"/>
    <w:rsid w:val="008421E2"/>
    <w:rsid w:val="0084242A"/>
    <w:rsid w:val="0084259D"/>
    <w:rsid w:val="008429BE"/>
    <w:rsid w:val="00842CE0"/>
    <w:rsid w:val="00843DE9"/>
    <w:rsid w:val="00844268"/>
    <w:rsid w:val="008445B3"/>
    <w:rsid w:val="0084535F"/>
    <w:rsid w:val="00845E43"/>
    <w:rsid w:val="00846A3A"/>
    <w:rsid w:val="00846D3C"/>
    <w:rsid w:val="00850989"/>
    <w:rsid w:val="00851069"/>
    <w:rsid w:val="0085107A"/>
    <w:rsid w:val="00851882"/>
    <w:rsid w:val="0085201E"/>
    <w:rsid w:val="008527A8"/>
    <w:rsid w:val="00852B80"/>
    <w:rsid w:val="008534E6"/>
    <w:rsid w:val="00853B3F"/>
    <w:rsid w:val="00853F28"/>
    <w:rsid w:val="008557BF"/>
    <w:rsid w:val="00855C6C"/>
    <w:rsid w:val="00855F8C"/>
    <w:rsid w:val="008562DC"/>
    <w:rsid w:val="00856682"/>
    <w:rsid w:val="00856734"/>
    <w:rsid w:val="00856B5B"/>
    <w:rsid w:val="00857201"/>
    <w:rsid w:val="00857444"/>
    <w:rsid w:val="008601B5"/>
    <w:rsid w:val="008605E6"/>
    <w:rsid w:val="008612B3"/>
    <w:rsid w:val="0086282E"/>
    <w:rsid w:val="008633D0"/>
    <w:rsid w:val="00863929"/>
    <w:rsid w:val="00864307"/>
    <w:rsid w:val="00864A64"/>
    <w:rsid w:val="00864B21"/>
    <w:rsid w:val="00864DCD"/>
    <w:rsid w:val="0086511A"/>
    <w:rsid w:val="00865658"/>
    <w:rsid w:val="008657D8"/>
    <w:rsid w:val="00865A1A"/>
    <w:rsid w:val="00866097"/>
    <w:rsid w:val="00866680"/>
    <w:rsid w:val="00866874"/>
    <w:rsid w:val="00867D2C"/>
    <w:rsid w:val="00870942"/>
    <w:rsid w:val="0087113F"/>
    <w:rsid w:val="00871150"/>
    <w:rsid w:val="00872675"/>
    <w:rsid w:val="0087377C"/>
    <w:rsid w:val="00874263"/>
    <w:rsid w:val="00874446"/>
    <w:rsid w:val="0087534F"/>
    <w:rsid w:val="00877352"/>
    <w:rsid w:val="00877CC1"/>
    <w:rsid w:val="00880796"/>
    <w:rsid w:val="00880888"/>
    <w:rsid w:val="008816E0"/>
    <w:rsid w:val="00881996"/>
    <w:rsid w:val="00881A06"/>
    <w:rsid w:val="00882121"/>
    <w:rsid w:val="0088212C"/>
    <w:rsid w:val="00882496"/>
    <w:rsid w:val="00883E56"/>
    <w:rsid w:val="008848A1"/>
    <w:rsid w:val="00884943"/>
    <w:rsid w:val="008852C0"/>
    <w:rsid w:val="00885B67"/>
    <w:rsid w:val="00885E5F"/>
    <w:rsid w:val="00886710"/>
    <w:rsid w:val="0088750B"/>
    <w:rsid w:val="00887C0C"/>
    <w:rsid w:val="00887D2D"/>
    <w:rsid w:val="00887F54"/>
    <w:rsid w:val="00890153"/>
    <w:rsid w:val="008904DB"/>
    <w:rsid w:val="0089181E"/>
    <w:rsid w:val="00891C4A"/>
    <w:rsid w:val="00891CEC"/>
    <w:rsid w:val="008923AE"/>
    <w:rsid w:val="0089263B"/>
    <w:rsid w:val="00892A78"/>
    <w:rsid w:val="0089381E"/>
    <w:rsid w:val="0089383A"/>
    <w:rsid w:val="00893F48"/>
    <w:rsid w:val="008942B9"/>
    <w:rsid w:val="00895453"/>
    <w:rsid w:val="00896B1D"/>
    <w:rsid w:val="00896EA6"/>
    <w:rsid w:val="0089724E"/>
    <w:rsid w:val="0089783D"/>
    <w:rsid w:val="00897F72"/>
    <w:rsid w:val="008A02B9"/>
    <w:rsid w:val="008A093F"/>
    <w:rsid w:val="008A0C99"/>
    <w:rsid w:val="008A0F04"/>
    <w:rsid w:val="008A113A"/>
    <w:rsid w:val="008A1384"/>
    <w:rsid w:val="008A141A"/>
    <w:rsid w:val="008A15C1"/>
    <w:rsid w:val="008A1E30"/>
    <w:rsid w:val="008A35EE"/>
    <w:rsid w:val="008A3A54"/>
    <w:rsid w:val="008A3B11"/>
    <w:rsid w:val="008A3B96"/>
    <w:rsid w:val="008A406E"/>
    <w:rsid w:val="008A451D"/>
    <w:rsid w:val="008A4F0A"/>
    <w:rsid w:val="008A5B46"/>
    <w:rsid w:val="008A73A3"/>
    <w:rsid w:val="008B0441"/>
    <w:rsid w:val="008B0600"/>
    <w:rsid w:val="008B06D1"/>
    <w:rsid w:val="008B0BED"/>
    <w:rsid w:val="008B0D77"/>
    <w:rsid w:val="008B14FF"/>
    <w:rsid w:val="008B2F27"/>
    <w:rsid w:val="008B389B"/>
    <w:rsid w:val="008B3C52"/>
    <w:rsid w:val="008B41DB"/>
    <w:rsid w:val="008B49E5"/>
    <w:rsid w:val="008B4C9E"/>
    <w:rsid w:val="008B5064"/>
    <w:rsid w:val="008B5698"/>
    <w:rsid w:val="008B6ED5"/>
    <w:rsid w:val="008B76CB"/>
    <w:rsid w:val="008B79D8"/>
    <w:rsid w:val="008C0A57"/>
    <w:rsid w:val="008C0C95"/>
    <w:rsid w:val="008C0D2D"/>
    <w:rsid w:val="008C1B3E"/>
    <w:rsid w:val="008C269A"/>
    <w:rsid w:val="008C27FC"/>
    <w:rsid w:val="008C3094"/>
    <w:rsid w:val="008C3461"/>
    <w:rsid w:val="008C3A02"/>
    <w:rsid w:val="008C3C3E"/>
    <w:rsid w:val="008C3DB0"/>
    <w:rsid w:val="008C43DF"/>
    <w:rsid w:val="008C4D93"/>
    <w:rsid w:val="008C5397"/>
    <w:rsid w:val="008C53F5"/>
    <w:rsid w:val="008C5C5B"/>
    <w:rsid w:val="008C6693"/>
    <w:rsid w:val="008C7B58"/>
    <w:rsid w:val="008C7F03"/>
    <w:rsid w:val="008D0541"/>
    <w:rsid w:val="008D1881"/>
    <w:rsid w:val="008D188E"/>
    <w:rsid w:val="008D1CFB"/>
    <w:rsid w:val="008D1E20"/>
    <w:rsid w:val="008D2D25"/>
    <w:rsid w:val="008D3690"/>
    <w:rsid w:val="008D3726"/>
    <w:rsid w:val="008D3F58"/>
    <w:rsid w:val="008D3F8D"/>
    <w:rsid w:val="008D4254"/>
    <w:rsid w:val="008D45D1"/>
    <w:rsid w:val="008D49D4"/>
    <w:rsid w:val="008D5085"/>
    <w:rsid w:val="008D54E5"/>
    <w:rsid w:val="008D5782"/>
    <w:rsid w:val="008D5E74"/>
    <w:rsid w:val="008D60E5"/>
    <w:rsid w:val="008D6209"/>
    <w:rsid w:val="008D665E"/>
    <w:rsid w:val="008D732D"/>
    <w:rsid w:val="008D743B"/>
    <w:rsid w:val="008D7D4B"/>
    <w:rsid w:val="008D7EF6"/>
    <w:rsid w:val="008E0563"/>
    <w:rsid w:val="008E08A0"/>
    <w:rsid w:val="008E11D1"/>
    <w:rsid w:val="008E1F3E"/>
    <w:rsid w:val="008E1F58"/>
    <w:rsid w:val="008E27D6"/>
    <w:rsid w:val="008E29AC"/>
    <w:rsid w:val="008E37DC"/>
    <w:rsid w:val="008E43CB"/>
    <w:rsid w:val="008E4E53"/>
    <w:rsid w:val="008E6239"/>
    <w:rsid w:val="008E66E6"/>
    <w:rsid w:val="008E6FAF"/>
    <w:rsid w:val="008E7B16"/>
    <w:rsid w:val="008F0875"/>
    <w:rsid w:val="008F135F"/>
    <w:rsid w:val="008F1502"/>
    <w:rsid w:val="008F1B3B"/>
    <w:rsid w:val="008F1F28"/>
    <w:rsid w:val="008F20DB"/>
    <w:rsid w:val="008F2422"/>
    <w:rsid w:val="008F2554"/>
    <w:rsid w:val="008F29A6"/>
    <w:rsid w:val="008F4940"/>
    <w:rsid w:val="008F4C44"/>
    <w:rsid w:val="008F5B02"/>
    <w:rsid w:val="008F5C70"/>
    <w:rsid w:val="008F69AC"/>
    <w:rsid w:val="008F6B75"/>
    <w:rsid w:val="008F6F05"/>
    <w:rsid w:val="008F6FDF"/>
    <w:rsid w:val="008F73C1"/>
    <w:rsid w:val="008F790D"/>
    <w:rsid w:val="008F7D32"/>
    <w:rsid w:val="008F7ED1"/>
    <w:rsid w:val="00900484"/>
    <w:rsid w:val="00900533"/>
    <w:rsid w:val="0090122E"/>
    <w:rsid w:val="00901D19"/>
    <w:rsid w:val="00901F45"/>
    <w:rsid w:val="009024C7"/>
    <w:rsid w:val="00902B9E"/>
    <w:rsid w:val="00902BB7"/>
    <w:rsid w:val="0090360E"/>
    <w:rsid w:val="009039C8"/>
    <w:rsid w:val="009040FA"/>
    <w:rsid w:val="0090496A"/>
    <w:rsid w:val="0090521A"/>
    <w:rsid w:val="00905253"/>
    <w:rsid w:val="009053B0"/>
    <w:rsid w:val="009058F6"/>
    <w:rsid w:val="00910F45"/>
    <w:rsid w:val="0091108D"/>
    <w:rsid w:val="00911164"/>
    <w:rsid w:val="00911CF4"/>
    <w:rsid w:val="00911FE2"/>
    <w:rsid w:val="009125A2"/>
    <w:rsid w:val="00913081"/>
    <w:rsid w:val="00914771"/>
    <w:rsid w:val="009151D7"/>
    <w:rsid w:val="00915B88"/>
    <w:rsid w:val="0091622F"/>
    <w:rsid w:val="00916821"/>
    <w:rsid w:val="00916AF6"/>
    <w:rsid w:val="00917274"/>
    <w:rsid w:val="0091734F"/>
    <w:rsid w:val="009174ED"/>
    <w:rsid w:val="009200F0"/>
    <w:rsid w:val="009209DD"/>
    <w:rsid w:val="00921C83"/>
    <w:rsid w:val="00922162"/>
    <w:rsid w:val="0092231D"/>
    <w:rsid w:val="00922ADB"/>
    <w:rsid w:val="00922C66"/>
    <w:rsid w:val="009237B5"/>
    <w:rsid w:val="00923D4E"/>
    <w:rsid w:val="00924600"/>
    <w:rsid w:val="009252C0"/>
    <w:rsid w:val="00925A68"/>
    <w:rsid w:val="00925ACF"/>
    <w:rsid w:val="00925C48"/>
    <w:rsid w:val="00925E9C"/>
    <w:rsid w:val="00926240"/>
    <w:rsid w:val="009264E5"/>
    <w:rsid w:val="009270E9"/>
    <w:rsid w:val="009306C6"/>
    <w:rsid w:val="00930BF7"/>
    <w:rsid w:val="00930D02"/>
    <w:rsid w:val="009310F9"/>
    <w:rsid w:val="009318B4"/>
    <w:rsid w:val="00931AA5"/>
    <w:rsid w:val="00931CDA"/>
    <w:rsid w:val="00932293"/>
    <w:rsid w:val="009338DE"/>
    <w:rsid w:val="00933FBB"/>
    <w:rsid w:val="0093407E"/>
    <w:rsid w:val="0093420B"/>
    <w:rsid w:val="009343E7"/>
    <w:rsid w:val="00934765"/>
    <w:rsid w:val="00934F52"/>
    <w:rsid w:val="00935EFA"/>
    <w:rsid w:val="00936825"/>
    <w:rsid w:val="00937829"/>
    <w:rsid w:val="00937ABB"/>
    <w:rsid w:val="00940473"/>
    <w:rsid w:val="00940AD2"/>
    <w:rsid w:val="00940FDF"/>
    <w:rsid w:val="00941674"/>
    <w:rsid w:val="009425AF"/>
    <w:rsid w:val="00942739"/>
    <w:rsid w:val="00942761"/>
    <w:rsid w:val="00945749"/>
    <w:rsid w:val="009465B4"/>
    <w:rsid w:val="00947AE7"/>
    <w:rsid w:val="009501D7"/>
    <w:rsid w:val="00950934"/>
    <w:rsid w:val="00950E3C"/>
    <w:rsid w:val="00953304"/>
    <w:rsid w:val="00953759"/>
    <w:rsid w:val="0095407B"/>
    <w:rsid w:val="00954CFB"/>
    <w:rsid w:val="00955944"/>
    <w:rsid w:val="00955EE0"/>
    <w:rsid w:val="00956666"/>
    <w:rsid w:val="0095695F"/>
    <w:rsid w:val="00956FB4"/>
    <w:rsid w:val="00957091"/>
    <w:rsid w:val="009574A1"/>
    <w:rsid w:val="00957A6E"/>
    <w:rsid w:val="00957B08"/>
    <w:rsid w:val="00957F27"/>
    <w:rsid w:val="00960803"/>
    <w:rsid w:val="00960A82"/>
    <w:rsid w:val="009612B8"/>
    <w:rsid w:val="00961312"/>
    <w:rsid w:val="00961536"/>
    <w:rsid w:val="00961B71"/>
    <w:rsid w:val="00961CB0"/>
    <w:rsid w:val="00962521"/>
    <w:rsid w:val="009626EA"/>
    <w:rsid w:val="0096273D"/>
    <w:rsid w:val="00962AA3"/>
    <w:rsid w:val="00963497"/>
    <w:rsid w:val="0096366F"/>
    <w:rsid w:val="009637FA"/>
    <w:rsid w:val="00963DC7"/>
    <w:rsid w:val="00965273"/>
    <w:rsid w:val="009654B4"/>
    <w:rsid w:val="009656BD"/>
    <w:rsid w:val="009658CA"/>
    <w:rsid w:val="0096596F"/>
    <w:rsid w:val="0096636B"/>
    <w:rsid w:val="009663C3"/>
    <w:rsid w:val="00966CA9"/>
    <w:rsid w:val="00966EF8"/>
    <w:rsid w:val="00967C5A"/>
    <w:rsid w:val="00967EC9"/>
    <w:rsid w:val="009700B5"/>
    <w:rsid w:val="009701DA"/>
    <w:rsid w:val="00970A70"/>
    <w:rsid w:val="00970C58"/>
    <w:rsid w:val="0097150B"/>
    <w:rsid w:val="00971ABE"/>
    <w:rsid w:val="00971D0F"/>
    <w:rsid w:val="00971D79"/>
    <w:rsid w:val="00972987"/>
    <w:rsid w:val="00973A21"/>
    <w:rsid w:val="00973CDA"/>
    <w:rsid w:val="00973EF9"/>
    <w:rsid w:val="00977471"/>
    <w:rsid w:val="009777A2"/>
    <w:rsid w:val="00977AC9"/>
    <w:rsid w:val="00977D3C"/>
    <w:rsid w:val="00977E0F"/>
    <w:rsid w:val="00977F68"/>
    <w:rsid w:val="009807EA"/>
    <w:rsid w:val="009814CF"/>
    <w:rsid w:val="00981635"/>
    <w:rsid w:val="00981B46"/>
    <w:rsid w:val="00981D75"/>
    <w:rsid w:val="009820C4"/>
    <w:rsid w:val="0098249E"/>
    <w:rsid w:val="00982B5C"/>
    <w:rsid w:val="00983BBB"/>
    <w:rsid w:val="00983CD4"/>
    <w:rsid w:val="00983F8E"/>
    <w:rsid w:val="00984C21"/>
    <w:rsid w:val="0098528D"/>
    <w:rsid w:val="00985DBF"/>
    <w:rsid w:val="0098688D"/>
    <w:rsid w:val="00986EB8"/>
    <w:rsid w:val="00986FF7"/>
    <w:rsid w:val="00987B57"/>
    <w:rsid w:val="00990497"/>
    <w:rsid w:val="009914E7"/>
    <w:rsid w:val="009915F5"/>
    <w:rsid w:val="00991AB3"/>
    <w:rsid w:val="00991ACE"/>
    <w:rsid w:val="009926B1"/>
    <w:rsid w:val="0099296C"/>
    <w:rsid w:val="00993387"/>
    <w:rsid w:val="009933F8"/>
    <w:rsid w:val="00993408"/>
    <w:rsid w:val="009935FB"/>
    <w:rsid w:val="00993922"/>
    <w:rsid w:val="00994608"/>
    <w:rsid w:val="00995809"/>
    <w:rsid w:val="00995C0C"/>
    <w:rsid w:val="00995CDF"/>
    <w:rsid w:val="00995E22"/>
    <w:rsid w:val="00996018"/>
    <w:rsid w:val="009962E1"/>
    <w:rsid w:val="00996311"/>
    <w:rsid w:val="009A03C2"/>
    <w:rsid w:val="009A041E"/>
    <w:rsid w:val="009A0707"/>
    <w:rsid w:val="009A0E1A"/>
    <w:rsid w:val="009A0EB6"/>
    <w:rsid w:val="009A1324"/>
    <w:rsid w:val="009A160F"/>
    <w:rsid w:val="009A1966"/>
    <w:rsid w:val="009A1CF1"/>
    <w:rsid w:val="009A292D"/>
    <w:rsid w:val="009A2D83"/>
    <w:rsid w:val="009A46FB"/>
    <w:rsid w:val="009A4778"/>
    <w:rsid w:val="009A4A34"/>
    <w:rsid w:val="009A4DFE"/>
    <w:rsid w:val="009A5035"/>
    <w:rsid w:val="009A7059"/>
    <w:rsid w:val="009A757C"/>
    <w:rsid w:val="009A7584"/>
    <w:rsid w:val="009A770A"/>
    <w:rsid w:val="009A7D97"/>
    <w:rsid w:val="009B01F8"/>
    <w:rsid w:val="009B042F"/>
    <w:rsid w:val="009B0AE5"/>
    <w:rsid w:val="009B0D22"/>
    <w:rsid w:val="009B1266"/>
    <w:rsid w:val="009B2800"/>
    <w:rsid w:val="009B362D"/>
    <w:rsid w:val="009B3A29"/>
    <w:rsid w:val="009B3C5E"/>
    <w:rsid w:val="009B3DBD"/>
    <w:rsid w:val="009B4046"/>
    <w:rsid w:val="009B4507"/>
    <w:rsid w:val="009B4A6A"/>
    <w:rsid w:val="009B4E4A"/>
    <w:rsid w:val="009B6738"/>
    <w:rsid w:val="009B6F22"/>
    <w:rsid w:val="009B70B6"/>
    <w:rsid w:val="009B76F1"/>
    <w:rsid w:val="009B7A06"/>
    <w:rsid w:val="009B7F5D"/>
    <w:rsid w:val="009C0C04"/>
    <w:rsid w:val="009C22D6"/>
    <w:rsid w:val="009C3420"/>
    <w:rsid w:val="009C3C31"/>
    <w:rsid w:val="009C3FD9"/>
    <w:rsid w:val="009C4AD5"/>
    <w:rsid w:val="009C4B38"/>
    <w:rsid w:val="009C5BDB"/>
    <w:rsid w:val="009C5D73"/>
    <w:rsid w:val="009C6151"/>
    <w:rsid w:val="009C6BDE"/>
    <w:rsid w:val="009C6D98"/>
    <w:rsid w:val="009C6F28"/>
    <w:rsid w:val="009C7005"/>
    <w:rsid w:val="009C7213"/>
    <w:rsid w:val="009C797F"/>
    <w:rsid w:val="009C7E1F"/>
    <w:rsid w:val="009D0A05"/>
    <w:rsid w:val="009D0D17"/>
    <w:rsid w:val="009D0E96"/>
    <w:rsid w:val="009D11B2"/>
    <w:rsid w:val="009D15DF"/>
    <w:rsid w:val="009D186A"/>
    <w:rsid w:val="009D1AC7"/>
    <w:rsid w:val="009D1E6A"/>
    <w:rsid w:val="009D1F89"/>
    <w:rsid w:val="009D20EA"/>
    <w:rsid w:val="009D23A1"/>
    <w:rsid w:val="009D6EA4"/>
    <w:rsid w:val="009D7064"/>
    <w:rsid w:val="009D7160"/>
    <w:rsid w:val="009D7695"/>
    <w:rsid w:val="009E13B7"/>
    <w:rsid w:val="009E2467"/>
    <w:rsid w:val="009E24DD"/>
    <w:rsid w:val="009E25AF"/>
    <w:rsid w:val="009E3214"/>
    <w:rsid w:val="009E3793"/>
    <w:rsid w:val="009E3FBB"/>
    <w:rsid w:val="009E4467"/>
    <w:rsid w:val="009E4473"/>
    <w:rsid w:val="009E4E2B"/>
    <w:rsid w:val="009E4F36"/>
    <w:rsid w:val="009E50B2"/>
    <w:rsid w:val="009E7602"/>
    <w:rsid w:val="009F16A2"/>
    <w:rsid w:val="009F1E77"/>
    <w:rsid w:val="009F2247"/>
    <w:rsid w:val="009F3584"/>
    <w:rsid w:val="009F4C5F"/>
    <w:rsid w:val="009F5137"/>
    <w:rsid w:val="009F5CA4"/>
    <w:rsid w:val="009F6639"/>
    <w:rsid w:val="009F709C"/>
    <w:rsid w:val="009F7B4B"/>
    <w:rsid w:val="00A00518"/>
    <w:rsid w:val="00A00665"/>
    <w:rsid w:val="00A019C7"/>
    <w:rsid w:val="00A0274B"/>
    <w:rsid w:val="00A02833"/>
    <w:rsid w:val="00A03345"/>
    <w:rsid w:val="00A03410"/>
    <w:rsid w:val="00A039E2"/>
    <w:rsid w:val="00A03C9E"/>
    <w:rsid w:val="00A04AE0"/>
    <w:rsid w:val="00A05414"/>
    <w:rsid w:val="00A0542A"/>
    <w:rsid w:val="00A055CE"/>
    <w:rsid w:val="00A067A3"/>
    <w:rsid w:val="00A06DA6"/>
    <w:rsid w:val="00A0708D"/>
    <w:rsid w:val="00A079F8"/>
    <w:rsid w:val="00A10393"/>
    <w:rsid w:val="00A10397"/>
    <w:rsid w:val="00A10437"/>
    <w:rsid w:val="00A1063C"/>
    <w:rsid w:val="00A10E3D"/>
    <w:rsid w:val="00A1183E"/>
    <w:rsid w:val="00A11B99"/>
    <w:rsid w:val="00A122EF"/>
    <w:rsid w:val="00A12534"/>
    <w:rsid w:val="00A12784"/>
    <w:rsid w:val="00A13706"/>
    <w:rsid w:val="00A139C6"/>
    <w:rsid w:val="00A156EF"/>
    <w:rsid w:val="00A160DA"/>
    <w:rsid w:val="00A16D35"/>
    <w:rsid w:val="00A2099F"/>
    <w:rsid w:val="00A20E5A"/>
    <w:rsid w:val="00A21376"/>
    <w:rsid w:val="00A21A08"/>
    <w:rsid w:val="00A21AFF"/>
    <w:rsid w:val="00A21D54"/>
    <w:rsid w:val="00A22023"/>
    <w:rsid w:val="00A222B0"/>
    <w:rsid w:val="00A2270D"/>
    <w:rsid w:val="00A23742"/>
    <w:rsid w:val="00A23BAF"/>
    <w:rsid w:val="00A24E3A"/>
    <w:rsid w:val="00A24F1F"/>
    <w:rsid w:val="00A25057"/>
    <w:rsid w:val="00A25065"/>
    <w:rsid w:val="00A25BCC"/>
    <w:rsid w:val="00A25D03"/>
    <w:rsid w:val="00A26581"/>
    <w:rsid w:val="00A2664B"/>
    <w:rsid w:val="00A2717D"/>
    <w:rsid w:val="00A275CA"/>
    <w:rsid w:val="00A27DAB"/>
    <w:rsid w:val="00A30080"/>
    <w:rsid w:val="00A300FB"/>
    <w:rsid w:val="00A30BA1"/>
    <w:rsid w:val="00A31289"/>
    <w:rsid w:val="00A316F3"/>
    <w:rsid w:val="00A3267A"/>
    <w:rsid w:val="00A32B19"/>
    <w:rsid w:val="00A33A50"/>
    <w:rsid w:val="00A33BBE"/>
    <w:rsid w:val="00A3436B"/>
    <w:rsid w:val="00A34858"/>
    <w:rsid w:val="00A348F5"/>
    <w:rsid w:val="00A34C7E"/>
    <w:rsid w:val="00A34F08"/>
    <w:rsid w:val="00A36034"/>
    <w:rsid w:val="00A3618E"/>
    <w:rsid w:val="00A362E0"/>
    <w:rsid w:val="00A364B5"/>
    <w:rsid w:val="00A36CFD"/>
    <w:rsid w:val="00A37692"/>
    <w:rsid w:val="00A37BB0"/>
    <w:rsid w:val="00A37D24"/>
    <w:rsid w:val="00A40470"/>
    <w:rsid w:val="00A405B7"/>
    <w:rsid w:val="00A42D4D"/>
    <w:rsid w:val="00A42FF2"/>
    <w:rsid w:val="00A43065"/>
    <w:rsid w:val="00A43B6D"/>
    <w:rsid w:val="00A43E6B"/>
    <w:rsid w:val="00A44268"/>
    <w:rsid w:val="00A443EB"/>
    <w:rsid w:val="00A44421"/>
    <w:rsid w:val="00A4461E"/>
    <w:rsid w:val="00A45E61"/>
    <w:rsid w:val="00A4606C"/>
    <w:rsid w:val="00A46361"/>
    <w:rsid w:val="00A46FCA"/>
    <w:rsid w:val="00A4717D"/>
    <w:rsid w:val="00A47270"/>
    <w:rsid w:val="00A47B09"/>
    <w:rsid w:val="00A47DB3"/>
    <w:rsid w:val="00A50A71"/>
    <w:rsid w:val="00A513C4"/>
    <w:rsid w:val="00A52119"/>
    <w:rsid w:val="00A522F9"/>
    <w:rsid w:val="00A528F3"/>
    <w:rsid w:val="00A5399B"/>
    <w:rsid w:val="00A55B0C"/>
    <w:rsid w:val="00A56D8A"/>
    <w:rsid w:val="00A57057"/>
    <w:rsid w:val="00A57612"/>
    <w:rsid w:val="00A5798D"/>
    <w:rsid w:val="00A57C5A"/>
    <w:rsid w:val="00A608C1"/>
    <w:rsid w:val="00A6104D"/>
    <w:rsid w:val="00A619C9"/>
    <w:rsid w:val="00A6205C"/>
    <w:rsid w:val="00A6217E"/>
    <w:rsid w:val="00A62F7B"/>
    <w:rsid w:val="00A63525"/>
    <w:rsid w:val="00A63D70"/>
    <w:rsid w:val="00A63E70"/>
    <w:rsid w:val="00A642E0"/>
    <w:rsid w:val="00A6508D"/>
    <w:rsid w:val="00A65D1B"/>
    <w:rsid w:val="00A65FEC"/>
    <w:rsid w:val="00A67405"/>
    <w:rsid w:val="00A67941"/>
    <w:rsid w:val="00A67ADA"/>
    <w:rsid w:val="00A71699"/>
    <w:rsid w:val="00A71EEB"/>
    <w:rsid w:val="00A7330E"/>
    <w:rsid w:val="00A73929"/>
    <w:rsid w:val="00A744F3"/>
    <w:rsid w:val="00A74BD5"/>
    <w:rsid w:val="00A75228"/>
    <w:rsid w:val="00A7523B"/>
    <w:rsid w:val="00A75330"/>
    <w:rsid w:val="00A7611A"/>
    <w:rsid w:val="00A76124"/>
    <w:rsid w:val="00A76A99"/>
    <w:rsid w:val="00A7783C"/>
    <w:rsid w:val="00A77BDF"/>
    <w:rsid w:val="00A77C30"/>
    <w:rsid w:val="00A80979"/>
    <w:rsid w:val="00A81B03"/>
    <w:rsid w:val="00A823F9"/>
    <w:rsid w:val="00A82481"/>
    <w:rsid w:val="00A8257C"/>
    <w:rsid w:val="00A828E7"/>
    <w:rsid w:val="00A83A8E"/>
    <w:rsid w:val="00A83AFA"/>
    <w:rsid w:val="00A83CBE"/>
    <w:rsid w:val="00A844E4"/>
    <w:rsid w:val="00A847BF"/>
    <w:rsid w:val="00A84B54"/>
    <w:rsid w:val="00A84EBA"/>
    <w:rsid w:val="00A86283"/>
    <w:rsid w:val="00A87A0E"/>
    <w:rsid w:val="00A90B2E"/>
    <w:rsid w:val="00A90C42"/>
    <w:rsid w:val="00A90E58"/>
    <w:rsid w:val="00A915E9"/>
    <w:rsid w:val="00A9240C"/>
    <w:rsid w:val="00A92909"/>
    <w:rsid w:val="00A92D93"/>
    <w:rsid w:val="00A931CB"/>
    <w:rsid w:val="00A93BB4"/>
    <w:rsid w:val="00A9423A"/>
    <w:rsid w:val="00A9485D"/>
    <w:rsid w:val="00A94EC5"/>
    <w:rsid w:val="00A95DC7"/>
    <w:rsid w:val="00A96A22"/>
    <w:rsid w:val="00A96AB3"/>
    <w:rsid w:val="00A973E9"/>
    <w:rsid w:val="00A97451"/>
    <w:rsid w:val="00AA0238"/>
    <w:rsid w:val="00AA064A"/>
    <w:rsid w:val="00AA1BD0"/>
    <w:rsid w:val="00AA2030"/>
    <w:rsid w:val="00AA2301"/>
    <w:rsid w:val="00AA37F7"/>
    <w:rsid w:val="00AA3910"/>
    <w:rsid w:val="00AA40CD"/>
    <w:rsid w:val="00AA44BA"/>
    <w:rsid w:val="00AA49D1"/>
    <w:rsid w:val="00AA4CC4"/>
    <w:rsid w:val="00AA4EDA"/>
    <w:rsid w:val="00AA65F8"/>
    <w:rsid w:val="00AA6E4E"/>
    <w:rsid w:val="00AA7780"/>
    <w:rsid w:val="00AA79F4"/>
    <w:rsid w:val="00AB049D"/>
    <w:rsid w:val="00AB0BE1"/>
    <w:rsid w:val="00AB0C4C"/>
    <w:rsid w:val="00AB1235"/>
    <w:rsid w:val="00AB1393"/>
    <w:rsid w:val="00AB1445"/>
    <w:rsid w:val="00AB1EC9"/>
    <w:rsid w:val="00AB2B71"/>
    <w:rsid w:val="00AB396C"/>
    <w:rsid w:val="00AB4320"/>
    <w:rsid w:val="00AB4A3F"/>
    <w:rsid w:val="00AB4F72"/>
    <w:rsid w:val="00AB5156"/>
    <w:rsid w:val="00AB59DB"/>
    <w:rsid w:val="00AB5AE5"/>
    <w:rsid w:val="00AB5B28"/>
    <w:rsid w:val="00AB5E36"/>
    <w:rsid w:val="00AB6A90"/>
    <w:rsid w:val="00AB6D18"/>
    <w:rsid w:val="00AB7FB1"/>
    <w:rsid w:val="00AC0403"/>
    <w:rsid w:val="00AC0606"/>
    <w:rsid w:val="00AC1533"/>
    <w:rsid w:val="00AC19B8"/>
    <w:rsid w:val="00AC2166"/>
    <w:rsid w:val="00AC28B3"/>
    <w:rsid w:val="00AC3350"/>
    <w:rsid w:val="00AC48ED"/>
    <w:rsid w:val="00AC5026"/>
    <w:rsid w:val="00AC5802"/>
    <w:rsid w:val="00AC6E27"/>
    <w:rsid w:val="00AC706B"/>
    <w:rsid w:val="00AC73DA"/>
    <w:rsid w:val="00AD0796"/>
    <w:rsid w:val="00AD0B76"/>
    <w:rsid w:val="00AD1CB7"/>
    <w:rsid w:val="00AD1CC1"/>
    <w:rsid w:val="00AD2C1C"/>
    <w:rsid w:val="00AD3060"/>
    <w:rsid w:val="00AD3287"/>
    <w:rsid w:val="00AD33E4"/>
    <w:rsid w:val="00AD4106"/>
    <w:rsid w:val="00AD52EE"/>
    <w:rsid w:val="00AD6069"/>
    <w:rsid w:val="00AD63B2"/>
    <w:rsid w:val="00AD6926"/>
    <w:rsid w:val="00AD6B89"/>
    <w:rsid w:val="00AD6D24"/>
    <w:rsid w:val="00AD77E8"/>
    <w:rsid w:val="00AD7ACB"/>
    <w:rsid w:val="00AE032A"/>
    <w:rsid w:val="00AE034C"/>
    <w:rsid w:val="00AE1661"/>
    <w:rsid w:val="00AE1710"/>
    <w:rsid w:val="00AE1AF1"/>
    <w:rsid w:val="00AE1BDA"/>
    <w:rsid w:val="00AE2E42"/>
    <w:rsid w:val="00AE2EC4"/>
    <w:rsid w:val="00AE399B"/>
    <w:rsid w:val="00AE3F13"/>
    <w:rsid w:val="00AE43AB"/>
    <w:rsid w:val="00AE4BE1"/>
    <w:rsid w:val="00AE4F70"/>
    <w:rsid w:val="00AE54AF"/>
    <w:rsid w:val="00AE5B4D"/>
    <w:rsid w:val="00AE7431"/>
    <w:rsid w:val="00AE75D0"/>
    <w:rsid w:val="00AF020D"/>
    <w:rsid w:val="00AF06D1"/>
    <w:rsid w:val="00AF1825"/>
    <w:rsid w:val="00AF19A5"/>
    <w:rsid w:val="00AF1A5C"/>
    <w:rsid w:val="00AF24D7"/>
    <w:rsid w:val="00AF314A"/>
    <w:rsid w:val="00AF3516"/>
    <w:rsid w:val="00AF37E4"/>
    <w:rsid w:val="00AF39E1"/>
    <w:rsid w:val="00AF42C4"/>
    <w:rsid w:val="00AF4C61"/>
    <w:rsid w:val="00AF4CB5"/>
    <w:rsid w:val="00AF5756"/>
    <w:rsid w:val="00AF5C11"/>
    <w:rsid w:val="00AF625B"/>
    <w:rsid w:val="00B001AB"/>
    <w:rsid w:val="00B00BA5"/>
    <w:rsid w:val="00B00D56"/>
    <w:rsid w:val="00B00DE2"/>
    <w:rsid w:val="00B01126"/>
    <w:rsid w:val="00B01233"/>
    <w:rsid w:val="00B0140C"/>
    <w:rsid w:val="00B01D94"/>
    <w:rsid w:val="00B01FF6"/>
    <w:rsid w:val="00B02148"/>
    <w:rsid w:val="00B02427"/>
    <w:rsid w:val="00B040B1"/>
    <w:rsid w:val="00B04590"/>
    <w:rsid w:val="00B04EE8"/>
    <w:rsid w:val="00B04FC5"/>
    <w:rsid w:val="00B05380"/>
    <w:rsid w:val="00B062DA"/>
    <w:rsid w:val="00B07094"/>
    <w:rsid w:val="00B07311"/>
    <w:rsid w:val="00B0747B"/>
    <w:rsid w:val="00B1121E"/>
    <w:rsid w:val="00B1169A"/>
    <w:rsid w:val="00B11A45"/>
    <w:rsid w:val="00B11DF9"/>
    <w:rsid w:val="00B1255E"/>
    <w:rsid w:val="00B12CEA"/>
    <w:rsid w:val="00B12F07"/>
    <w:rsid w:val="00B12F7B"/>
    <w:rsid w:val="00B13203"/>
    <w:rsid w:val="00B13895"/>
    <w:rsid w:val="00B15969"/>
    <w:rsid w:val="00B15A6F"/>
    <w:rsid w:val="00B15BB2"/>
    <w:rsid w:val="00B163AA"/>
    <w:rsid w:val="00B163F4"/>
    <w:rsid w:val="00B16A16"/>
    <w:rsid w:val="00B171D0"/>
    <w:rsid w:val="00B2003C"/>
    <w:rsid w:val="00B200B0"/>
    <w:rsid w:val="00B2016B"/>
    <w:rsid w:val="00B21BC2"/>
    <w:rsid w:val="00B21D70"/>
    <w:rsid w:val="00B2247C"/>
    <w:rsid w:val="00B23A25"/>
    <w:rsid w:val="00B24632"/>
    <w:rsid w:val="00B24ABC"/>
    <w:rsid w:val="00B2515D"/>
    <w:rsid w:val="00B2579D"/>
    <w:rsid w:val="00B25C3A"/>
    <w:rsid w:val="00B25F01"/>
    <w:rsid w:val="00B26151"/>
    <w:rsid w:val="00B2628A"/>
    <w:rsid w:val="00B26C7C"/>
    <w:rsid w:val="00B278F5"/>
    <w:rsid w:val="00B27BE1"/>
    <w:rsid w:val="00B301CA"/>
    <w:rsid w:val="00B30BDD"/>
    <w:rsid w:val="00B31EEA"/>
    <w:rsid w:val="00B324AA"/>
    <w:rsid w:val="00B32E12"/>
    <w:rsid w:val="00B34584"/>
    <w:rsid w:val="00B34B54"/>
    <w:rsid w:val="00B34F34"/>
    <w:rsid w:val="00B35FBE"/>
    <w:rsid w:val="00B36A9F"/>
    <w:rsid w:val="00B3757F"/>
    <w:rsid w:val="00B400CD"/>
    <w:rsid w:val="00B41FE3"/>
    <w:rsid w:val="00B4232A"/>
    <w:rsid w:val="00B4326D"/>
    <w:rsid w:val="00B43EC9"/>
    <w:rsid w:val="00B44439"/>
    <w:rsid w:val="00B451EA"/>
    <w:rsid w:val="00B4578B"/>
    <w:rsid w:val="00B459DD"/>
    <w:rsid w:val="00B46780"/>
    <w:rsid w:val="00B46B17"/>
    <w:rsid w:val="00B4779D"/>
    <w:rsid w:val="00B50C7C"/>
    <w:rsid w:val="00B51330"/>
    <w:rsid w:val="00B51BC5"/>
    <w:rsid w:val="00B51E38"/>
    <w:rsid w:val="00B53630"/>
    <w:rsid w:val="00B54483"/>
    <w:rsid w:val="00B54CD1"/>
    <w:rsid w:val="00B54E97"/>
    <w:rsid w:val="00B5588B"/>
    <w:rsid w:val="00B5599F"/>
    <w:rsid w:val="00B55A38"/>
    <w:rsid w:val="00B55DDE"/>
    <w:rsid w:val="00B55FC4"/>
    <w:rsid w:val="00B5613A"/>
    <w:rsid w:val="00B56C5F"/>
    <w:rsid w:val="00B616B6"/>
    <w:rsid w:val="00B619C7"/>
    <w:rsid w:val="00B619F8"/>
    <w:rsid w:val="00B61AE1"/>
    <w:rsid w:val="00B6216F"/>
    <w:rsid w:val="00B622B6"/>
    <w:rsid w:val="00B62B2E"/>
    <w:rsid w:val="00B63228"/>
    <w:rsid w:val="00B63FCC"/>
    <w:rsid w:val="00B642E0"/>
    <w:rsid w:val="00B644CF"/>
    <w:rsid w:val="00B65113"/>
    <w:rsid w:val="00B6573B"/>
    <w:rsid w:val="00B65F54"/>
    <w:rsid w:val="00B70470"/>
    <w:rsid w:val="00B71BA2"/>
    <w:rsid w:val="00B71BBD"/>
    <w:rsid w:val="00B724AC"/>
    <w:rsid w:val="00B72792"/>
    <w:rsid w:val="00B72F5C"/>
    <w:rsid w:val="00B7376B"/>
    <w:rsid w:val="00B73C80"/>
    <w:rsid w:val="00B74072"/>
    <w:rsid w:val="00B7538F"/>
    <w:rsid w:val="00B7546C"/>
    <w:rsid w:val="00B76696"/>
    <w:rsid w:val="00B77196"/>
    <w:rsid w:val="00B777AE"/>
    <w:rsid w:val="00B77FCF"/>
    <w:rsid w:val="00B80083"/>
    <w:rsid w:val="00B80591"/>
    <w:rsid w:val="00B818BF"/>
    <w:rsid w:val="00B81A16"/>
    <w:rsid w:val="00B81A77"/>
    <w:rsid w:val="00B81F26"/>
    <w:rsid w:val="00B82007"/>
    <w:rsid w:val="00B824CA"/>
    <w:rsid w:val="00B828FC"/>
    <w:rsid w:val="00B83772"/>
    <w:rsid w:val="00B83CF8"/>
    <w:rsid w:val="00B84F41"/>
    <w:rsid w:val="00B8507F"/>
    <w:rsid w:val="00B85669"/>
    <w:rsid w:val="00B86A95"/>
    <w:rsid w:val="00B86B9D"/>
    <w:rsid w:val="00B8705F"/>
    <w:rsid w:val="00B8791F"/>
    <w:rsid w:val="00B90631"/>
    <w:rsid w:val="00B90D2F"/>
    <w:rsid w:val="00B90EFD"/>
    <w:rsid w:val="00B919E4"/>
    <w:rsid w:val="00B91AD6"/>
    <w:rsid w:val="00B91EA1"/>
    <w:rsid w:val="00B9228C"/>
    <w:rsid w:val="00B923EB"/>
    <w:rsid w:val="00B92DBB"/>
    <w:rsid w:val="00B92F9C"/>
    <w:rsid w:val="00B943B7"/>
    <w:rsid w:val="00B947D3"/>
    <w:rsid w:val="00B95C01"/>
    <w:rsid w:val="00B95D29"/>
    <w:rsid w:val="00B96361"/>
    <w:rsid w:val="00B9683C"/>
    <w:rsid w:val="00B96DCB"/>
    <w:rsid w:val="00B97929"/>
    <w:rsid w:val="00BA030A"/>
    <w:rsid w:val="00BA1316"/>
    <w:rsid w:val="00BA14DA"/>
    <w:rsid w:val="00BA1A39"/>
    <w:rsid w:val="00BA28A6"/>
    <w:rsid w:val="00BA310E"/>
    <w:rsid w:val="00BA3B90"/>
    <w:rsid w:val="00BA3D8E"/>
    <w:rsid w:val="00BA4239"/>
    <w:rsid w:val="00BA4249"/>
    <w:rsid w:val="00BA4C31"/>
    <w:rsid w:val="00BA5471"/>
    <w:rsid w:val="00BA615D"/>
    <w:rsid w:val="00BA6AC8"/>
    <w:rsid w:val="00BA6BC5"/>
    <w:rsid w:val="00BA6D39"/>
    <w:rsid w:val="00BA7574"/>
    <w:rsid w:val="00BA7B0A"/>
    <w:rsid w:val="00BB01D9"/>
    <w:rsid w:val="00BB1143"/>
    <w:rsid w:val="00BB122F"/>
    <w:rsid w:val="00BB21C7"/>
    <w:rsid w:val="00BB2990"/>
    <w:rsid w:val="00BB2BAE"/>
    <w:rsid w:val="00BB3056"/>
    <w:rsid w:val="00BB3F4A"/>
    <w:rsid w:val="00BB3FF0"/>
    <w:rsid w:val="00BB4C86"/>
    <w:rsid w:val="00BB5191"/>
    <w:rsid w:val="00BB5B17"/>
    <w:rsid w:val="00BB5B52"/>
    <w:rsid w:val="00BB7335"/>
    <w:rsid w:val="00BC0429"/>
    <w:rsid w:val="00BC0607"/>
    <w:rsid w:val="00BC0AD4"/>
    <w:rsid w:val="00BC0D33"/>
    <w:rsid w:val="00BC162A"/>
    <w:rsid w:val="00BC1949"/>
    <w:rsid w:val="00BC2E0A"/>
    <w:rsid w:val="00BC376A"/>
    <w:rsid w:val="00BC3F31"/>
    <w:rsid w:val="00BC3F3B"/>
    <w:rsid w:val="00BC4365"/>
    <w:rsid w:val="00BC48E4"/>
    <w:rsid w:val="00BC4BBF"/>
    <w:rsid w:val="00BC4F05"/>
    <w:rsid w:val="00BC4F2D"/>
    <w:rsid w:val="00BC5BAF"/>
    <w:rsid w:val="00BC5E2B"/>
    <w:rsid w:val="00BC64BE"/>
    <w:rsid w:val="00BC66F7"/>
    <w:rsid w:val="00BC7512"/>
    <w:rsid w:val="00BC7535"/>
    <w:rsid w:val="00BC7665"/>
    <w:rsid w:val="00BD173D"/>
    <w:rsid w:val="00BD1CCF"/>
    <w:rsid w:val="00BD2126"/>
    <w:rsid w:val="00BD220A"/>
    <w:rsid w:val="00BD263D"/>
    <w:rsid w:val="00BD3031"/>
    <w:rsid w:val="00BD3CE2"/>
    <w:rsid w:val="00BD489C"/>
    <w:rsid w:val="00BD4F9C"/>
    <w:rsid w:val="00BD504F"/>
    <w:rsid w:val="00BD50C3"/>
    <w:rsid w:val="00BD50CF"/>
    <w:rsid w:val="00BD567C"/>
    <w:rsid w:val="00BD6885"/>
    <w:rsid w:val="00BD6DA2"/>
    <w:rsid w:val="00BD742D"/>
    <w:rsid w:val="00BE0558"/>
    <w:rsid w:val="00BE0F73"/>
    <w:rsid w:val="00BE1056"/>
    <w:rsid w:val="00BE18D1"/>
    <w:rsid w:val="00BE1A14"/>
    <w:rsid w:val="00BE1A2E"/>
    <w:rsid w:val="00BE1A33"/>
    <w:rsid w:val="00BE319E"/>
    <w:rsid w:val="00BE367B"/>
    <w:rsid w:val="00BE3D1A"/>
    <w:rsid w:val="00BE3D42"/>
    <w:rsid w:val="00BE4481"/>
    <w:rsid w:val="00BE5ECF"/>
    <w:rsid w:val="00BE7C0C"/>
    <w:rsid w:val="00BF044C"/>
    <w:rsid w:val="00BF0600"/>
    <w:rsid w:val="00BF1B0D"/>
    <w:rsid w:val="00BF2012"/>
    <w:rsid w:val="00BF2436"/>
    <w:rsid w:val="00BF2540"/>
    <w:rsid w:val="00BF2726"/>
    <w:rsid w:val="00BF2EE2"/>
    <w:rsid w:val="00BF3A76"/>
    <w:rsid w:val="00BF3EDC"/>
    <w:rsid w:val="00BF4DFD"/>
    <w:rsid w:val="00BF4E74"/>
    <w:rsid w:val="00BF516A"/>
    <w:rsid w:val="00BF5242"/>
    <w:rsid w:val="00BF5425"/>
    <w:rsid w:val="00BF559B"/>
    <w:rsid w:val="00BF6C50"/>
    <w:rsid w:val="00BF715F"/>
    <w:rsid w:val="00C00A35"/>
    <w:rsid w:val="00C020AF"/>
    <w:rsid w:val="00C022FB"/>
    <w:rsid w:val="00C02956"/>
    <w:rsid w:val="00C03455"/>
    <w:rsid w:val="00C040F3"/>
    <w:rsid w:val="00C06D80"/>
    <w:rsid w:val="00C06F99"/>
    <w:rsid w:val="00C071D2"/>
    <w:rsid w:val="00C07709"/>
    <w:rsid w:val="00C1000B"/>
    <w:rsid w:val="00C10A6A"/>
    <w:rsid w:val="00C10D8A"/>
    <w:rsid w:val="00C11015"/>
    <w:rsid w:val="00C1359B"/>
    <w:rsid w:val="00C14A07"/>
    <w:rsid w:val="00C15619"/>
    <w:rsid w:val="00C1588C"/>
    <w:rsid w:val="00C16F72"/>
    <w:rsid w:val="00C17382"/>
    <w:rsid w:val="00C2048B"/>
    <w:rsid w:val="00C206B9"/>
    <w:rsid w:val="00C20930"/>
    <w:rsid w:val="00C212F0"/>
    <w:rsid w:val="00C21BB5"/>
    <w:rsid w:val="00C224BA"/>
    <w:rsid w:val="00C23670"/>
    <w:rsid w:val="00C23C4B"/>
    <w:rsid w:val="00C2486C"/>
    <w:rsid w:val="00C24C41"/>
    <w:rsid w:val="00C2524E"/>
    <w:rsid w:val="00C257FE"/>
    <w:rsid w:val="00C259FF"/>
    <w:rsid w:val="00C262AC"/>
    <w:rsid w:val="00C26E30"/>
    <w:rsid w:val="00C27F01"/>
    <w:rsid w:val="00C30A29"/>
    <w:rsid w:val="00C313CF"/>
    <w:rsid w:val="00C3176D"/>
    <w:rsid w:val="00C31C48"/>
    <w:rsid w:val="00C323A8"/>
    <w:rsid w:val="00C326F4"/>
    <w:rsid w:val="00C32C6C"/>
    <w:rsid w:val="00C33820"/>
    <w:rsid w:val="00C33AA5"/>
    <w:rsid w:val="00C33C07"/>
    <w:rsid w:val="00C33CC2"/>
    <w:rsid w:val="00C33E98"/>
    <w:rsid w:val="00C340F8"/>
    <w:rsid w:val="00C34322"/>
    <w:rsid w:val="00C3478A"/>
    <w:rsid w:val="00C348BD"/>
    <w:rsid w:val="00C34924"/>
    <w:rsid w:val="00C34954"/>
    <w:rsid w:val="00C34D07"/>
    <w:rsid w:val="00C35808"/>
    <w:rsid w:val="00C359CB"/>
    <w:rsid w:val="00C36302"/>
    <w:rsid w:val="00C363ED"/>
    <w:rsid w:val="00C367B7"/>
    <w:rsid w:val="00C3728C"/>
    <w:rsid w:val="00C379AC"/>
    <w:rsid w:val="00C400E4"/>
    <w:rsid w:val="00C4061D"/>
    <w:rsid w:val="00C40687"/>
    <w:rsid w:val="00C40C50"/>
    <w:rsid w:val="00C41014"/>
    <w:rsid w:val="00C4109F"/>
    <w:rsid w:val="00C41246"/>
    <w:rsid w:val="00C414C9"/>
    <w:rsid w:val="00C41FF6"/>
    <w:rsid w:val="00C42425"/>
    <w:rsid w:val="00C42CD0"/>
    <w:rsid w:val="00C434E2"/>
    <w:rsid w:val="00C43572"/>
    <w:rsid w:val="00C4437D"/>
    <w:rsid w:val="00C444D4"/>
    <w:rsid w:val="00C4462A"/>
    <w:rsid w:val="00C446E3"/>
    <w:rsid w:val="00C453CC"/>
    <w:rsid w:val="00C46953"/>
    <w:rsid w:val="00C47E6D"/>
    <w:rsid w:val="00C5235F"/>
    <w:rsid w:val="00C53953"/>
    <w:rsid w:val="00C5458B"/>
    <w:rsid w:val="00C550C6"/>
    <w:rsid w:val="00C554AC"/>
    <w:rsid w:val="00C562AE"/>
    <w:rsid w:val="00C5648D"/>
    <w:rsid w:val="00C56736"/>
    <w:rsid w:val="00C56822"/>
    <w:rsid w:val="00C57765"/>
    <w:rsid w:val="00C578A3"/>
    <w:rsid w:val="00C57FC7"/>
    <w:rsid w:val="00C60FBE"/>
    <w:rsid w:val="00C61FE2"/>
    <w:rsid w:val="00C62746"/>
    <w:rsid w:val="00C63D5C"/>
    <w:rsid w:val="00C642D3"/>
    <w:rsid w:val="00C649FC"/>
    <w:rsid w:val="00C64C1E"/>
    <w:rsid w:val="00C64C30"/>
    <w:rsid w:val="00C64DEB"/>
    <w:rsid w:val="00C64FED"/>
    <w:rsid w:val="00C65977"/>
    <w:rsid w:val="00C659E4"/>
    <w:rsid w:val="00C665BA"/>
    <w:rsid w:val="00C665EA"/>
    <w:rsid w:val="00C6691D"/>
    <w:rsid w:val="00C66935"/>
    <w:rsid w:val="00C66C11"/>
    <w:rsid w:val="00C67260"/>
    <w:rsid w:val="00C67305"/>
    <w:rsid w:val="00C67456"/>
    <w:rsid w:val="00C679B5"/>
    <w:rsid w:val="00C704F6"/>
    <w:rsid w:val="00C71718"/>
    <w:rsid w:val="00C71826"/>
    <w:rsid w:val="00C71E28"/>
    <w:rsid w:val="00C722F1"/>
    <w:rsid w:val="00C73401"/>
    <w:rsid w:val="00C7368C"/>
    <w:rsid w:val="00C73801"/>
    <w:rsid w:val="00C75078"/>
    <w:rsid w:val="00C750C6"/>
    <w:rsid w:val="00C758A7"/>
    <w:rsid w:val="00C758EE"/>
    <w:rsid w:val="00C77048"/>
    <w:rsid w:val="00C77B17"/>
    <w:rsid w:val="00C77C65"/>
    <w:rsid w:val="00C803BC"/>
    <w:rsid w:val="00C804A3"/>
    <w:rsid w:val="00C80521"/>
    <w:rsid w:val="00C81116"/>
    <w:rsid w:val="00C81468"/>
    <w:rsid w:val="00C814F0"/>
    <w:rsid w:val="00C82D9F"/>
    <w:rsid w:val="00C8313B"/>
    <w:rsid w:val="00C83432"/>
    <w:rsid w:val="00C83825"/>
    <w:rsid w:val="00C83B29"/>
    <w:rsid w:val="00C83F6A"/>
    <w:rsid w:val="00C843C9"/>
    <w:rsid w:val="00C84546"/>
    <w:rsid w:val="00C84EE9"/>
    <w:rsid w:val="00C85777"/>
    <w:rsid w:val="00C85A38"/>
    <w:rsid w:val="00C86433"/>
    <w:rsid w:val="00C866F1"/>
    <w:rsid w:val="00C868B6"/>
    <w:rsid w:val="00C86D93"/>
    <w:rsid w:val="00C876B9"/>
    <w:rsid w:val="00C90A15"/>
    <w:rsid w:val="00C90A8C"/>
    <w:rsid w:val="00C90B4F"/>
    <w:rsid w:val="00C90BA8"/>
    <w:rsid w:val="00C91D60"/>
    <w:rsid w:val="00C92CA2"/>
    <w:rsid w:val="00C93665"/>
    <w:rsid w:val="00C939D0"/>
    <w:rsid w:val="00C93C92"/>
    <w:rsid w:val="00C948C2"/>
    <w:rsid w:val="00C956B6"/>
    <w:rsid w:val="00C95F8E"/>
    <w:rsid w:val="00C96723"/>
    <w:rsid w:val="00C9710E"/>
    <w:rsid w:val="00C97377"/>
    <w:rsid w:val="00CA0DE4"/>
    <w:rsid w:val="00CA27FB"/>
    <w:rsid w:val="00CA2BEA"/>
    <w:rsid w:val="00CA31D9"/>
    <w:rsid w:val="00CA32EF"/>
    <w:rsid w:val="00CA3C90"/>
    <w:rsid w:val="00CA40F1"/>
    <w:rsid w:val="00CA4206"/>
    <w:rsid w:val="00CA53D4"/>
    <w:rsid w:val="00CA5CA3"/>
    <w:rsid w:val="00CA7906"/>
    <w:rsid w:val="00CA7D61"/>
    <w:rsid w:val="00CB0305"/>
    <w:rsid w:val="00CB05AB"/>
    <w:rsid w:val="00CB2E70"/>
    <w:rsid w:val="00CB2EDC"/>
    <w:rsid w:val="00CB3193"/>
    <w:rsid w:val="00CB37E0"/>
    <w:rsid w:val="00CB38A5"/>
    <w:rsid w:val="00CB4777"/>
    <w:rsid w:val="00CB544C"/>
    <w:rsid w:val="00CB54E5"/>
    <w:rsid w:val="00CB5AB8"/>
    <w:rsid w:val="00CB643E"/>
    <w:rsid w:val="00CB6ADF"/>
    <w:rsid w:val="00CB6EE3"/>
    <w:rsid w:val="00CB6F8B"/>
    <w:rsid w:val="00CB7BEE"/>
    <w:rsid w:val="00CB7F9A"/>
    <w:rsid w:val="00CC09A6"/>
    <w:rsid w:val="00CC0A8F"/>
    <w:rsid w:val="00CC0D8B"/>
    <w:rsid w:val="00CC1908"/>
    <w:rsid w:val="00CC260B"/>
    <w:rsid w:val="00CC28B6"/>
    <w:rsid w:val="00CC38CC"/>
    <w:rsid w:val="00CC39C0"/>
    <w:rsid w:val="00CC4241"/>
    <w:rsid w:val="00CC63CD"/>
    <w:rsid w:val="00CC7627"/>
    <w:rsid w:val="00CC7940"/>
    <w:rsid w:val="00CC7CDC"/>
    <w:rsid w:val="00CD0CC1"/>
    <w:rsid w:val="00CD1239"/>
    <w:rsid w:val="00CD15BB"/>
    <w:rsid w:val="00CD1FCD"/>
    <w:rsid w:val="00CD20CB"/>
    <w:rsid w:val="00CD2460"/>
    <w:rsid w:val="00CD3EFF"/>
    <w:rsid w:val="00CD43CD"/>
    <w:rsid w:val="00CD4942"/>
    <w:rsid w:val="00CD501E"/>
    <w:rsid w:val="00CD5228"/>
    <w:rsid w:val="00CD5D89"/>
    <w:rsid w:val="00CD615D"/>
    <w:rsid w:val="00CD6613"/>
    <w:rsid w:val="00CD7203"/>
    <w:rsid w:val="00CD7D9D"/>
    <w:rsid w:val="00CE0141"/>
    <w:rsid w:val="00CE2E28"/>
    <w:rsid w:val="00CE3087"/>
    <w:rsid w:val="00CE35FF"/>
    <w:rsid w:val="00CE3674"/>
    <w:rsid w:val="00CE3B46"/>
    <w:rsid w:val="00CE434B"/>
    <w:rsid w:val="00CE44FC"/>
    <w:rsid w:val="00CE45A5"/>
    <w:rsid w:val="00CE4FF6"/>
    <w:rsid w:val="00CE5B12"/>
    <w:rsid w:val="00CE633F"/>
    <w:rsid w:val="00CE6D1C"/>
    <w:rsid w:val="00CE70E3"/>
    <w:rsid w:val="00CE72F3"/>
    <w:rsid w:val="00CF0261"/>
    <w:rsid w:val="00CF06A4"/>
    <w:rsid w:val="00CF0E1C"/>
    <w:rsid w:val="00CF0F5F"/>
    <w:rsid w:val="00CF14D3"/>
    <w:rsid w:val="00CF1747"/>
    <w:rsid w:val="00CF1E7C"/>
    <w:rsid w:val="00CF23FD"/>
    <w:rsid w:val="00CF317D"/>
    <w:rsid w:val="00CF35A8"/>
    <w:rsid w:val="00CF4531"/>
    <w:rsid w:val="00CF5BE0"/>
    <w:rsid w:val="00CF62B4"/>
    <w:rsid w:val="00CF6442"/>
    <w:rsid w:val="00CF64BA"/>
    <w:rsid w:val="00CF70A0"/>
    <w:rsid w:val="00D00869"/>
    <w:rsid w:val="00D009A5"/>
    <w:rsid w:val="00D00FF8"/>
    <w:rsid w:val="00D013EA"/>
    <w:rsid w:val="00D014DD"/>
    <w:rsid w:val="00D01576"/>
    <w:rsid w:val="00D02C4B"/>
    <w:rsid w:val="00D02FA2"/>
    <w:rsid w:val="00D03439"/>
    <w:rsid w:val="00D03EA8"/>
    <w:rsid w:val="00D044BA"/>
    <w:rsid w:val="00D04C06"/>
    <w:rsid w:val="00D04C36"/>
    <w:rsid w:val="00D0560A"/>
    <w:rsid w:val="00D0563A"/>
    <w:rsid w:val="00D05B4F"/>
    <w:rsid w:val="00D0683F"/>
    <w:rsid w:val="00D06F32"/>
    <w:rsid w:val="00D072AF"/>
    <w:rsid w:val="00D07CE6"/>
    <w:rsid w:val="00D10743"/>
    <w:rsid w:val="00D10ED3"/>
    <w:rsid w:val="00D11285"/>
    <w:rsid w:val="00D117CD"/>
    <w:rsid w:val="00D11ACB"/>
    <w:rsid w:val="00D12CB1"/>
    <w:rsid w:val="00D14C29"/>
    <w:rsid w:val="00D14CB8"/>
    <w:rsid w:val="00D152FD"/>
    <w:rsid w:val="00D15978"/>
    <w:rsid w:val="00D15F5F"/>
    <w:rsid w:val="00D160BA"/>
    <w:rsid w:val="00D16F9F"/>
    <w:rsid w:val="00D173A9"/>
    <w:rsid w:val="00D17D6F"/>
    <w:rsid w:val="00D20167"/>
    <w:rsid w:val="00D2019B"/>
    <w:rsid w:val="00D20366"/>
    <w:rsid w:val="00D20BB6"/>
    <w:rsid w:val="00D22519"/>
    <w:rsid w:val="00D22A50"/>
    <w:rsid w:val="00D22D62"/>
    <w:rsid w:val="00D24342"/>
    <w:rsid w:val="00D244C4"/>
    <w:rsid w:val="00D24538"/>
    <w:rsid w:val="00D246E9"/>
    <w:rsid w:val="00D24709"/>
    <w:rsid w:val="00D249F9"/>
    <w:rsid w:val="00D2533C"/>
    <w:rsid w:val="00D2543B"/>
    <w:rsid w:val="00D25959"/>
    <w:rsid w:val="00D25CE0"/>
    <w:rsid w:val="00D2608F"/>
    <w:rsid w:val="00D26773"/>
    <w:rsid w:val="00D30462"/>
    <w:rsid w:val="00D31D03"/>
    <w:rsid w:val="00D32A4D"/>
    <w:rsid w:val="00D331B9"/>
    <w:rsid w:val="00D33426"/>
    <w:rsid w:val="00D34183"/>
    <w:rsid w:val="00D3552E"/>
    <w:rsid w:val="00D355C2"/>
    <w:rsid w:val="00D36EC7"/>
    <w:rsid w:val="00D3704C"/>
    <w:rsid w:val="00D37855"/>
    <w:rsid w:val="00D4049A"/>
    <w:rsid w:val="00D423DA"/>
    <w:rsid w:val="00D42D1B"/>
    <w:rsid w:val="00D43A01"/>
    <w:rsid w:val="00D44106"/>
    <w:rsid w:val="00D44424"/>
    <w:rsid w:val="00D45A44"/>
    <w:rsid w:val="00D45D27"/>
    <w:rsid w:val="00D465E4"/>
    <w:rsid w:val="00D4661D"/>
    <w:rsid w:val="00D4686F"/>
    <w:rsid w:val="00D46DC7"/>
    <w:rsid w:val="00D471DC"/>
    <w:rsid w:val="00D473C0"/>
    <w:rsid w:val="00D47679"/>
    <w:rsid w:val="00D47D5E"/>
    <w:rsid w:val="00D505AA"/>
    <w:rsid w:val="00D50D0D"/>
    <w:rsid w:val="00D5219C"/>
    <w:rsid w:val="00D52725"/>
    <w:rsid w:val="00D528D6"/>
    <w:rsid w:val="00D52A89"/>
    <w:rsid w:val="00D52B26"/>
    <w:rsid w:val="00D52F28"/>
    <w:rsid w:val="00D53616"/>
    <w:rsid w:val="00D539EA"/>
    <w:rsid w:val="00D53E85"/>
    <w:rsid w:val="00D53FBF"/>
    <w:rsid w:val="00D54C17"/>
    <w:rsid w:val="00D55515"/>
    <w:rsid w:val="00D55860"/>
    <w:rsid w:val="00D55891"/>
    <w:rsid w:val="00D55DFF"/>
    <w:rsid w:val="00D560D7"/>
    <w:rsid w:val="00D56795"/>
    <w:rsid w:val="00D57C18"/>
    <w:rsid w:val="00D60A08"/>
    <w:rsid w:val="00D61273"/>
    <w:rsid w:val="00D61F4C"/>
    <w:rsid w:val="00D62080"/>
    <w:rsid w:val="00D62452"/>
    <w:rsid w:val="00D6287C"/>
    <w:rsid w:val="00D6302A"/>
    <w:rsid w:val="00D638EA"/>
    <w:rsid w:val="00D64CD4"/>
    <w:rsid w:val="00D64E9D"/>
    <w:rsid w:val="00D65763"/>
    <w:rsid w:val="00D66D68"/>
    <w:rsid w:val="00D674ED"/>
    <w:rsid w:val="00D67E97"/>
    <w:rsid w:val="00D67FAD"/>
    <w:rsid w:val="00D70772"/>
    <w:rsid w:val="00D70E2B"/>
    <w:rsid w:val="00D71202"/>
    <w:rsid w:val="00D7139A"/>
    <w:rsid w:val="00D72017"/>
    <w:rsid w:val="00D72DC5"/>
    <w:rsid w:val="00D7300C"/>
    <w:rsid w:val="00D7374C"/>
    <w:rsid w:val="00D73877"/>
    <w:rsid w:val="00D73A52"/>
    <w:rsid w:val="00D74AB2"/>
    <w:rsid w:val="00D757F6"/>
    <w:rsid w:val="00D765F4"/>
    <w:rsid w:val="00D7732A"/>
    <w:rsid w:val="00D77373"/>
    <w:rsid w:val="00D803B0"/>
    <w:rsid w:val="00D8090D"/>
    <w:rsid w:val="00D81062"/>
    <w:rsid w:val="00D824F6"/>
    <w:rsid w:val="00D825FD"/>
    <w:rsid w:val="00D82B94"/>
    <w:rsid w:val="00D83127"/>
    <w:rsid w:val="00D8349B"/>
    <w:rsid w:val="00D83606"/>
    <w:rsid w:val="00D837F8"/>
    <w:rsid w:val="00D84417"/>
    <w:rsid w:val="00D84A13"/>
    <w:rsid w:val="00D85430"/>
    <w:rsid w:val="00D85444"/>
    <w:rsid w:val="00D85A45"/>
    <w:rsid w:val="00D85B44"/>
    <w:rsid w:val="00D85DEF"/>
    <w:rsid w:val="00D85DFD"/>
    <w:rsid w:val="00D86981"/>
    <w:rsid w:val="00D87570"/>
    <w:rsid w:val="00D87C05"/>
    <w:rsid w:val="00D91300"/>
    <w:rsid w:val="00D916AE"/>
    <w:rsid w:val="00D91BF6"/>
    <w:rsid w:val="00D9228F"/>
    <w:rsid w:val="00D922CF"/>
    <w:rsid w:val="00D93255"/>
    <w:rsid w:val="00D93300"/>
    <w:rsid w:val="00D93F22"/>
    <w:rsid w:val="00D94243"/>
    <w:rsid w:val="00D94CF5"/>
    <w:rsid w:val="00D953D5"/>
    <w:rsid w:val="00D95CD4"/>
    <w:rsid w:val="00D96ED2"/>
    <w:rsid w:val="00D97796"/>
    <w:rsid w:val="00DA0BF9"/>
    <w:rsid w:val="00DA1105"/>
    <w:rsid w:val="00DA15B6"/>
    <w:rsid w:val="00DA19F9"/>
    <w:rsid w:val="00DA1AE2"/>
    <w:rsid w:val="00DA1FD9"/>
    <w:rsid w:val="00DA24E2"/>
    <w:rsid w:val="00DA25C4"/>
    <w:rsid w:val="00DA3019"/>
    <w:rsid w:val="00DA31D6"/>
    <w:rsid w:val="00DA4059"/>
    <w:rsid w:val="00DA501C"/>
    <w:rsid w:val="00DA57DE"/>
    <w:rsid w:val="00DA6164"/>
    <w:rsid w:val="00DA6450"/>
    <w:rsid w:val="00DA6FDD"/>
    <w:rsid w:val="00DA74D8"/>
    <w:rsid w:val="00DA774C"/>
    <w:rsid w:val="00DA7CF3"/>
    <w:rsid w:val="00DB034D"/>
    <w:rsid w:val="00DB0412"/>
    <w:rsid w:val="00DB0947"/>
    <w:rsid w:val="00DB09BB"/>
    <w:rsid w:val="00DB0BFD"/>
    <w:rsid w:val="00DB0D1B"/>
    <w:rsid w:val="00DB136E"/>
    <w:rsid w:val="00DB1D68"/>
    <w:rsid w:val="00DB2478"/>
    <w:rsid w:val="00DB3FA3"/>
    <w:rsid w:val="00DB44B4"/>
    <w:rsid w:val="00DB568D"/>
    <w:rsid w:val="00DB56AA"/>
    <w:rsid w:val="00DB59E7"/>
    <w:rsid w:val="00DB5A00"/>
    <w:rsid w:val="00DB64AA"/>
    <w:rsid w:val="00DB64C2"/>
    <w:rsid w:val="00DB6D4B"/>
    <w:rsid w:val="00DB7112"/>
    <w:rsid w:val="00DB7CA6"/>
    <w:rsid w:val="00DC0918"/>
    <w:rsid w:val="00DC1DD7"/>
    <w:rsid w:val="00DC2176"/>
    <w:rsid w:val="00DC2831"/>
    <w:rsid w:val="00DC31AB"/>
    <w:rsid w:val="00DC33A5"/>
    <w:rsid w:val="00DC3585"/>
    <w:rsid w:val="00DC3613"/>
    <w:rsid w:val="00DC3955"/>
    <w:rsid w:val="00DC3EFA"/>
    <w:rsid w:val="00DC4902"/>
    <w:rsid w:val="00DC4AED"/>
    <w:rsid w:val="00DC4D20"/>
    <w:rsid w:val="00DC644E"/>
    <w:rsid w:val="00DC70FB"/>
    <w:rsid w:val="00DC7B17"/>
    <w:rsid w:val="00DD003A"/>
    <w:rsid w:val="00DD1755"/>
    <w:rsid w:val="00DD2988"/>
    <w:rsid w:val="00DD2D2F"/>
    <w:rsid w:val="00DD3034"/>
    <w:rsid w:val="00DD30E0"/>
    <w:rsid w:val="00DD348C"/>
    <w:rsid w:val="00DD3AA3"/>
    <w:rsid w:val="00DD4058"/>
    <w:rsid w:val="00DD509B"/>
    <w:rsid w:val="00DD5C79"/>
    <w:rsid w:val="00DD612D"/>
    <w:rsid w:val="00DD6A5A"/>
    <w:rsid w:val="00DD7063"/>
    <w:rsid w:val="00DD770D"/>
    <w:rsid w:val="00DD7953"/>
    <w:rsid w:val="00DD7AEF"/>
    <w:rsid w:val="00DD7AFD"/>
    <w:rsid w:val="00DD7F0B"/>
    <w:rsid w:val="00DE03D1"/>
    <w:rsid w:val="00DE06E3"/>
    <w:rsid w:val="00DE1B94"/>
    <w:rsid w:val="00DE1D9A"/>
    <w:rsid w:val="00DE242F"/>
    <w:rsid w:val="00DE354D"/>
    <w:rsid w:val="00DE3BAB"/>
    <w:rsid w:val="00DE46AA"/>
    <w:rsid w:val="00DE4BAA"/>
    <w:rsid w:val="00DE4BDD"/>
    <w:rsid w:val="00DE5242"/>
    <w:rsid w:val="00DE587D"/>
    <w:rsid w:val="00DE7941"/>
    <w:rsid w:val="00DE7AF9"/>
    <w:rsid w:val="00DF156C"/>
    <w:rsid w:val="00DF1C4A"/>
    <w:rsid w:val="00DF1F4D"/>
    <w:rsid w:val="00DF207D"/>
    <w:rsid w:val="00DF231A"/>
    <w:rsid w:val="00DF324A"/>
    <w:rsid w:val="00DF374B"/>
    <w:rsid w:val="00DF415B"/>
    <w:rsid w:val="00DF50A5"/>
    <w:rsid w:val="00DF567D"/>
    <w:rsid w:val="00DF57E7"/>
    <w:rsid w:val="00DF5B0F"/>
    <w:rsid w:val="00DF661E"/>
    <w:rsid w:val="00DF6A49"/>
    <w:rsid w:val="00DF76A1"/>
    <w:rsid w:val="00E00BB7"/>
    <w:rsid w:val="00E01345"/>
    <w:rsid w:val="00E02607"/>
    <w:rsid w:val="00E02675"/>
    <w:rsid w:val="00E02976"/>
    <w:rsid w:val="00E02E36"/>
    <w:rsid w:val="00E03088"/>
    <w:rsid w:val="00E035D3"/>
    <w:rsid w:val="00E0423C"/>
    <w:rsid w:val="00E05A58"/>
    <w:rsid w:val="00E06212"/>
    <w:rsid w:val="00E063EB"/>
    <w:rsid w:val="00E0650D"/>
    <w:rsid w:val="00E06D9D"/>
    <w:rsid w:val="00E0703E"/>
    <w:rsid w:val="00E10160"/>
    <w:rsid w:val="00E101A6"/>
    <w:rsid w:val="00E10D4B"/>
    <w:rsid w:val="00E110EA"/>
    <w:rsid w:val="00E11439"/>
    <w:rsid w:val="00E11D36"/>
    <w:rsid w:val="00E121BC"/>
    <w:rsid w:val="00E12565"/>
    <w:rsid w:val="00E13835"/>
    <w:rsid w:val="00E13D66"/>
    <w:rsid w:val="00E146D8"/>
    <w:rsid w:val="00E148AA"/>
    <w:rsid w:val="00E15237"/>
    <w:rsid w:val="00E16671"/>
    <w:rsid w:val="00E166B4"/>
    <w:rsid w:val="00E16D4B"/>
    <w:rsid w:val="00E172BD"/>
    <w:rsid w:val="00E17412"/>
    <w:rsid w:val="00E175DF"/>
    <w:rsid w:val="00E17623"/>
    <w:rsid w:val="00E17925"/>
    <w:rsid w:val="00E17B30"/>
    <w:rsid w:val="00E17CEF"/>
    <w:rsid w:val="00E17D9A"/>
    <w:rsid w:val="00E203AF"/>
    <w:rsid w:val="00E20CE8"/>
    <w:rsid w:val="00E21320"/>
    <w:rsid w:val="00E21B52"/>
    <w:rsid w:val="00E21F11"/>
    <w:rsid w:val="00E224C4"/>
    <w:rsid w:val="00E226D3"/>
    <w:rsid w:val="00E22E4F"/>
    <w:rsid w:val="00E22EFB"/>
    <w:rsid w:val="00E23F74"/>
    <w:rsid w:val="00E26167"/>
    <w:rsid w:val="00E263AE"/>
    <w:rsid w:val="00E27903"/>
    <w:rsid w:val="00E27C07"/>
    <w:rsid w:val="00E30C61"/>
    <w:rsid w:val="00E312BF"/>
    <w:rsid w:val="00E31976"/>
    <w:rsid w:val="00E328F8"/>
    <w:rsid w:val="00E34CC9"/>
    <w:rsid w:val="00E3521F"/>
    <w:rsid w:val="00E36A1F"/>
    <w:rsid w:val="00E36B5A"/>
    <w:rsid w:val="00E36D94"/>
    <w:rsid w:val="00E376F9"/>
    <w:rsid w:val="00E37C34"/>
    <w:rsid w:val="00E37FA0"/>
    <w:rsid w:val="00E41079"/>
    <w:rsid w:val="00E4132E"/>
    <w:rsid w:val="00E413C2"/>
    <w:rsid w:val="00E417B5"/>
    <w:rsid w:val="00E41AA4"/>
    <w:rsid w:val="00E41F2B"/>
    <w:rsid w:val="00E42484"/>
    <w:rsid w:val="00E42CFA"/>
    <w:rsid w:val="00E43064"/>
    <w:rsid w:val="00E433A5"/>
    <w:rsid w:val="00E43448"/>
    <w:rsid w:val="00E434FF"/>
    <w:rsid w:val="00E447AB"/>
    <w:rsid w:val="00E45167"/>
    <w:rsid w:val="00E45596"/>
    <w:rsid w:val="00E4567E"/>
    <w:rsid w:val="00E45FC6"/>
    <w:rsid w:val="00E46A33"/>
    <w:rsid w:val="00E513AC"/>
    <w:rsid w:val="00E516D7"/>
    <w:rsid w:val="00E518DC"/>
    <w:rsid w:val="00E51C09"/>
    <w:rsid w:val="00E529A3"/>
    <w:rsid w:val="00E5317A"/>
    <w:rsid w:val="00E534FE"/>
    <w:rsid w:val="00E54408"/>
    <w:rsid w:val="00E54851"/>
    <w:rsid w:val="00E54BDF"/>
    <w:rsid w:val="00E54CA4"/>
    <w:rsid w:val="00E552D8"/>
    <w:rsid w:val="00E55419"/>
    <w:rsid w:val="00E55508"/>
    <w:rsid w:val="00E56307"/>
    <w:rsid w:val="00E5641F"/>
    <w:rsid w:val="00E5642B"/>
    <w:rsid w:val="00E56556"/>
    <w:rsid w:val="00E568C7"/>
    <w:rsid w:val="00E56F09"/>
    <w:rsid w:val="00E604BE"/>
    <w:rsid w:val="00E60BF1"/>
    <w:rsid w:val="00E60EE2"/>
    <w:rsid w:val="00E6157B"/>
    <w:rsid w:val="00E61FF4"/>
    <w:rsid w:val="00E62212"/>
    <w:rsid w:val="00E63402"/>
    <w:rsid w:val="00E636CE"/>
    <w:rsid w:val="00E63A99"/>
    <w:rsid w:val="00E63B82"/>
    <w:rsid w:val="00E63E98"/>
    <w:rsid w:val="00E6424A"/>
    <w:rsid w:val="00E64A5A"/>
    <w:rsid w:val="00E64F16"/>
    <w:rsid w:val="00E65409"/>
    <w:rsid w:val="00E655F1"/>
    <w:rsid w:val="00E66757"/>
    <w:rsid w:val="00E66F75"/>
    <w:rsid w:val="00E6723E"/>
    <w:rsid w:val="00E673C7"/>
    <w:rsid w:val="00E700AE"/>
    <w:rsid w:val="00E70E0A"/>
    <w:rsid w:val="00E71E02"/>
    <w:rsid w:val="00E730C3"/>
    <w:rsid w:val="00E7313A"/>
    <w:rsid w:val="00E733EA"/>
    <w:rsid w:val="00E73445"/>
    <w:rsid w:val="00E73D22"/>
    <w:rsid w:val="00E741E8"/>
    <w:rsid w:val="00E74491"/>
    <w:rsid w:val="00E74956"/>
    <w:rsid w:val="00E760B1"/>
    <w:rsid w:val="00E7666B"/>
    <w:rsid w:val="00E771BD"/>
    <w:rsid w:val="00E77FCA"/>
    <w:rsid w:val="00E8013D"/>
    <w:rsid w:val="00E803C1"/>
    <w:rsid w:val="00E80756"/>
    <w:rsid w:val="00E80C01"/>
    <w:rsid w:val="00E81423"/>
    <w:rsid w:val="00E8235B"/>
    <w:rsid w:val="00E82696"/>
    <w:rsid w:val="00E82CDD"/>
    <w:rsid w:val="00E83528"/>
    <w:rsid w:val="00E83537"/>
    <w:rsid w:val="00E84FF6"/>
    <w:rsid w:val="00E851AF"/>
    <w:rsid w:val="00E864CE"/>
    <w:rsid w:val="00E864D6"/>
    <w:rsid w:val="00E86CC3"/>
    <w:rsid w:val="00E877F5"/>
    <w:rsid w:val="00E87CD9"/>
    <w:rsid w:val="00E902D2"/>
    <w:rsid w:val="00E909C4"/>
    <w:rsid w:val="00E90CAA"/>
    <w:rsid w:val="00E90DFF"/>
    <w:rsid w:val="00E90ED2"/>
    <w:rsid w:val="00E940A8"/>
    <w:rsid w:val="00E94153"/>
    <w:rsid w:val="00E945E6"/>
    <w:rsid w:val="00E9475D"/>
    <w:rsid w:val="00E95556"/>
    <w:rsid w:val="00E9572F"/>
    <w:rsid w:val="00E957E1"/>
    <w:rsid w:val="00E95F81"/>
    <w:rsid w:val="00E96015"/>
    <w:rsid w:val="00E9609E"/>
    <w:rsid w:val="00E97B33"/>
    <w:rsid w:val="00EA03DB"/>
    <w:rsid w:val="00EA1526"/>
    <w:rsid w:val="00EA1EFE"/>
    <w:rsid w:val="00EA3997"/>
    <w:rsid w:val="00EA3CA5"/>
    <w:rsid w:val="00EA41D9"/>
    <w:rsid w:val="00EA4E01"/>
    <w:rsid w:val="00EA547C"/>
    <w:rsid w:val="00EA5A97"/>
    <w:rsid w:val="00EA60CE"/>
    <w:rsid w:val="00EA6AD1"/>
    <w:rsid w:val="00EA7BB8"/>
    <w:rsid w:val="00EA7BCE"/>
    <w:rsid w:val="00EA7EE0"/>
    <w:rsid w:val="00EB14D5"/>
    <w:rsid w:val="00EB1DBE"/>
    <w:rsid w:val="00EB1F50"/>
    <w:rsid w:val="00EB275B"/>
    <w:rsid w:val="00EB3125"/>
    <w:rsid w:val="00EB342D"/>
    <w:rsid w:val="00EB4E45"/>
    <w:rsid w:val="00EB4E6D"/>
    <w:rsid w:val="00EB55B2"/>
    <w:rsid w:val="00EB5CED"/>
    <w:rsid w:val="00EB5F79"/>
    <w:rsid w:val="00EB6263"/>
    <w:rsid w:val="00EC0D94"/>
    <w:rsid w:val="00EC0F9D"/>
    <w:rsid w:val="00EC1666"/>
    <w:rsid w:val="00EC19E5"/>
    <w:rsid w:val="00EC2B7A"/>
    <w:rsid w:val="00EC2D0B"/>
    <w:rsid w:val="00EC2FAD"/>
    <w:rsid w:val="00EC32C0"/>
    <w:rsid w:val="00EC4150"/>
    <w:rsid w:val="00EC434C"/>
    <w:rsid w:val="00EC462E"/>
    <w:rsid w:val="00EC517C"/>
    <w:rsid w:val="00EC64D0"/>
    <w:rsid w:val="00EC64ED"/>
    <w:rsid w:val="00EC6D2B"/>
    <w:rsid w:val="00EC71DD"/>
    <w:rsid w:val="00EC7B00"/>
    <w:rsid w:val="00EC7BD7"/>
    <w:rsid w:val="00ED12A8"/>
    <w:rsid w:val="00ED182B"/>
    <w:rsid w:val="00ED305C"/>
    <w:rsid w:val="00ED3C5D"/>
    <w:rsid w:val="00ED4771"/>
    <w:rsid w:val="00ED5777"/>
    <w:rsid w:val="00ED670E"/>
    <w:rsid w:val="00ED751C"/>
    <w:rsid w:val="00EE0279"/>
    <w:rsid w:val="00EE0CFA"/>
    <w:rsid w:val="00EE0E0D"/>
    <w:rsid w:val="00EE0EBF"/>
    <w:rsid w:val="00EE0FDE"/>
    <w:rsid w:val="00EE1B7E"/>
    <w:rsid w:val="00EE2385"/>
    <w:rsid w:val="00EE2788"/>
    <w:rsid w:val="00EE3208"/>
    <w:rsid w:val="00EE38AB"/>
    <w:rsid w:val="00EE38C9"/>
    <w:rsid w:val="00EE3CAF"/>
    <w:rsid w:val="00EE43FE"/>
    <w:rsid w:val="00EE497A"/>
    <w:rsid w:val="00EE4F1A"/>
    <w:rsid w:val="00EE4F1C"/>
    <w:rsid w:val="00EE5593"/>
    <w:rsid w:val="00EE5D9C"/>
    <w:rsid w:val="00EE65BD"/>
    <w:rsid w:val="00EE6CA2"/>
    <w:rsid w:val="00EE7932"/>
    <w:rsid w:val="00EE7CC7"/>
    <w:rsid w:val="00EF008E"/>
    <w:rsid w:val="00EF0BA5"/>
    <w:rsid w:val="00EF170B"/>
    <w:rsid w:val="00EF1BB0"/>
    <w:rsid w:val="00EF238F"/>
    <w:rsid w:val="00EF27B5"/>
    <w:rsid w:val="00EF2C10"/>
    <w:rsid w:val="00EF2EA5"/>
    <w:rsid w:val="00EF3600"/>
    <w:rsid w:val="00EF3D74"/>
    <w:rsid w:val="00EF408D"/>
    <w:rsid w:val="00EF4E84"/>
    <w:rsid w:val="00EF4F23"/>
    <w:rsid w:val="00EF4F99"/>
    <w:rsid w:val="00EF5C9F"/>
    <w:rsid w:val="00EF6DD6"/>
    <w:rsid w:val="00EF7C9D"/>
    <w:rsid w:val="00EF7D93"/>
    <w:rsid w:val="00F005FB"/>
    <w:rsid w:val="00F00A55"/>
    <w:rsid w:val="00F0103B"/>
    <w:rsid w:val="00F01504"/>
    <w:rsid w:val="00F01AB3"/>
    <w:rsid w:val="00F01FBB"/>
    <w:rsid w:val="00F0228B"/>
    <w:rsid w:val="00F02B56"/>
    <w:rsid w:val="00F03800"/>
    <w:rsid w:val="00F03C3A"/>
    <w:rsid w:val="00F044ED"/>
    <w:rsid w:val="00F04766"/>
    <w:rsid w:val="00F048C0"/>
    <w:rsid w:val="00F04AAB"/>
    <w:rsid w:val="00F05A32"/>
    <w:rsid w:val="00F05EA2"/>
    <w:rsid w:val="00F05F43"/>
    <w:rsid w:val="00F0615B"/>
    <w:rsid w:val="00F07294"/>
    <w:rsid w:val="00F10925"/>
    <w:rsid w:val="00F1147B"/>
    <w:rsid w:val="00F116FD"/>
    <w:rsid w:val="00F11983"/>
    <w:rsid w:val="00F12C72"/>
    <w:rsid w:val="00F14164"/>
    <w:rsid w:val="00F141B4"/>
    <w:rsid w:val="00F141DD"/>
    <w:rsid w:val="00F14ABD"/>
    <w:rsid w:val="00F159F6"/>
    <w:rsid w:val="00F15ADB"/>
    <w:rsid w:val="00F162D6"/>
    <w:rsid w:val="00F1677E"/>
    <w:rsid w:val="00F173D7"/>
    <w:rsid w:val="00F17407"/>
    <w:rsid w:val="00F2009C"/>
    <w:rsid w:val="00F201B6"/>
    <w:rsid w:val="00F2049C"/>
    <w:rsid w:val="00F208EE"/>
    <w:rsid w:val="00F20F88"/>
    <w:rsid w:val="00F2102D"/>
    <w:rsid w:val="00F21048"/>
    <w:rsid w:val="00F21381"/>
    <w:rsid w:val="00F213B4"/>
    <w:rsid w:val="00F21730"/>
    <w:rsid w:val="00F22EB6"/>
    <w:rsid w:val="00F2308A"/>
    <w:rsid w:val="00F23107"/>
    <w:rsid w:val="00F2324D"/>
    <w:rsid w:val="00F23460"/>
    <w:rsid w:val="00F23D6F"/>
    <w:rsid w:val="00F24979"/>
    <w:rsid w:val="00F259F2"/>
    <w:rsid w:val="00F25A64"/>
    <w:rsid w:val="00F2719A"/>
    <w:rsid w:val="00F274C2"/>
    <w:rsid w:val="00F27F98"/>
    <w:rsid w:val="00F302B1"/>
    <w:rsid w:val="00F30ECE"/>
    <w:rsid w:val="00F327A2"/>
    <w:rsid w:val="00F3293F"/>
    <w:rsid w:val="00F3300F"/>
    <w:rsid w:val="00F33532"/>
    <w:rsid w:val="00F33998"/>
    <w:rsid w:val="00F34715"/>
    <w:rsid w:val="00F36077"/>
    <w:rsid w:val="00F3664A"/>
    <w:rsid w:val="00F37130"/>
    <w:rsid w:val="00F3785D"/>
    <w:rsid w:val="00F37FC5"/>
    <w:rsid w:val="00F40A98"/>
    <w:rsid w:val="00F40DF6"/>
    <w:rsid w:val="00F42285"/>
    <w:rsid w:val="00F43F70"/>
    <w:rsid w:val="00F4493E"/>
    <w:rsid w:val="00F4496F"/>
    <w:rsid w:val="00F44FC4"/>
    <w:rsid w:val="00F4605E"/>
    <w:rsid w:val="00F465A7"/>
    <w:rsid w:val="00F46A6D"/>
    <w:rsid w:val="00F46CE3"/>
    <w:rsid w:val="00F47323"/>
    <w:rsid w:val="00F4794B"/>
    <w:rsid w:val="00F50E70"/>
    <w:rsid w:val="00F513FB"/>
    <w:rsid w:val="00F5195C"/>
    <w:rsid w:val="00F51FC4"/>
    <w:rsid w:val="00F52056"/>
    <w:rsid w:val="00F54502"/>
    <w:rsid w:val="00F545F5"/>
    <w:rsid w:val="00F549D9"/>
    <w:rsid w:val="00F54BFE"/>
    <w:rsid w:val="00F553E4"/>
    <w:rsid w:val="00F55A43"/>
    <w:rsid w:val="00F56417"/>
    <w:rsid w:val="00F57504"/>
    <w:rsid w:val="00F578CE"/>
    <w:rsid w:val="00F60689"/>
    <w:rsid w:val="00F62F91"/>
    <w:rsid w:val="00F63074"/>
    <w:rsid w:val="00F63AF6"/>
    <w:rsid w:val="00F63FBB"/>
    <w:rsid w:val="00F64793"/>
    <w:rsid w:val="00F657C3"/>
    <w:rsid w:val="00F66EB4"/>
    <w:rsid w:val="00F6752B"/>
    <w:rsid w:val="00F67F30"/>
    <w:rsid w:val="00F70523"/>
    <w:rsid w:val="00F719E7"/>
    <w:rsid w:val="00F71EF0"/>
    <w:rsid w:val="00F7236A"/>
    <w:rsid w:val="00F7239D"/>
    <w:rsid w:val="00F7336A"/>
    <w:rsid w:val="00F743B9"/>
    <w:rsid w:val="00F74917"/>
    <w:rsid w:val="00F75D45"/>
    <w:rsid w:val="00F76C80"/>
    <w:rsid w:val="00F77756"/>
    <w:rsid w:val="00F7784E"/>
    <w:rsid w:val="00F77875"/>
    <w:rsid w:val="00F77F15"/>
    <w:rsid w:val="00F801F4"/>
    <w:rsid w:val="00F8023C"/>
    <w:rsid w:val="00F80477"/>
    <w:rsid w:val="00F8143E"/>
    <w:rsid w:val="00F8152D"/>
    <w:rsid w:val="00F817D2"/>
    <w:rsid w:val="00F825B9"/>
    <w:rsid w:val="00F83187"/>
    <w:rsid w:val="00F832F2"/>
    <w:rsid w:val="00F83727"/>
    <w:rsid w:val="00F83D50"/>
    <w:rsid w:val="00F84646"/>
    <w:rsid w:val="00F86610"/>
    <w:rsid w:val="00F876D9"/>
    <w:rsid w:val="00F90558"/>
    <w:rsid w:val="00F90A6E"/>
    <w:rsid w:val="00F91680"/>
    <w:rsid w:val="00F92388"/>
    <w:rsid w:val="00F929A6"/>
    <w:rsid w:val="00F92E2A"/>
    <w:rsid w:val="00F93B31"/>
    <w:rsid w:val="00F945D3"/>
    <w:rsid w:val="00F94819"/>
    <w:rsid w:val="00F95A02"/>
    <w:rsid w:val="00F95A50"/>
    <w:rsid w:val="00F96C62"/>
    <w:rsid w:val="00F97177"/>
    <w:rsid w:val="00F972C9"/>
    <w:rsid w:val="00F97B36"/>
    <w:rsid w:val="00F97C9D"/>
    <w:rsid w:val="00F97F65"/>
    <w:rsid w:val="00FA0E82"/>
    <w:rsid w:val="00FA212D"/>
    <w:rsid w:val="00FA2A9D"/>
    <w:rsid w:val="00FA2DAD"/>
    <w:rsid w:val="00FA31E5"/>
    <w:rsid w:val="00FA39EC"/>
    <w:rsid w:val="00FA3BA0"/>
    <w:rsid w:val="00FA722E"/>
    <w:rsid w:val="00FA729D"/>
    <w:rsid w:val="00FA7C76"/>
    <w:rsid w:val="00FB1474"/>
    <w:rsid w:val="00FB26C6"/>
    <w:rsid w:val="00FB2972"/>
    <w:rsid w:val="00FB2CAE"/>
    <w:rsid w:val="00FB2F69"/>
    <w:rsid w:val="00FB314E"/>
    <w:rsid w:val="00FB3305"/>
    <w:rsid w:val="00FB4228"/>
    <w:rsid w:val="00FB44AD"/>
    <w:rsid w:val="00FB4E51"/>
    <w:rsid w:val="00FB5A90"/>
    <w:rsid w:val="00FB5B82"/>
    <w:rsid w:val="00FB77AA"/>
    <w:rsid w:val="00FB799E"/>
    <w:rsid w:val="00FB7A08"/>
    <w:rsid w:val="00FC07EE"/>
    <w:rsid w:val="00FC1505"/>
    <w:rsid w:val="00FC216C"/>
    <w:rsid w:val="00FC297A"/>
    <w:rsid w:val="00FC2C3B"/>
    <w:rsid w:val="00FC331F"/>
    <w:rsid w:val="00FC4969"/>
    <w:rsid w:val="00FC4CA4"/>
    <w:rsid w:val="00FC4D6D"/>
    <w:rsid w:val="00FC5233"/>
    <w:rsid w:val="00FC598A"/>
    <w:rsid w:val="00FC5B0C"/>
    <w:rsid w:val="00FC6253"/>
    <w:rsid w:val="00FC64DC"/>
    <w:rsid w:val="00FC691F"/>
    <w:rsid w:val="00FC6E67"/>
    <w:rsid w:val="00FC7002"/>
    <w:rsid w:val="00FC7E66"/>
    <w:rsid w:val="00FD0201"/>
    <w:rsid w:val="00FD103D"/>
    <w:rsid w:val="00FD1058"/>
    <w:rsid w:val="00FD11BE"/>
    <w:rsid w:val="00FD19DE"/>
    <w:rsid w:val="00FD1EEC"/>
    <w:rsid w:val="00FD2884"/>
    <w:rsid w:val="00FD2A56"/>
    <w:rsid w:val="00FD2E16"/>
    <w:rsid w:val="00FD2FC0"/>
    <w:rsid w:val="00FD4118"/>
    <w:rsid w:val="00FD52E0"/>
    <w:rsid w:val="00FD55D7"/>
    <w:rsid w:val="00FD57FE"/>
    <w:rsid w:val="00FD5B75"/>
    <w:rsid w:val="00FD5DBF"/>
    <w:rsid w:val="00FD627E"/>
    <w:rsid w:val="00FD6F62"/>
    <w:rsid w:val="00FD7295"/>
    <w:rsid w:val="00FD74B7"/>
    <w:rsid w:val="00FD7C51"/>
    <w:rsid w:val="00FE0CBB"/>
    <w:rsid w:val="00FE0E31"/>
    <w:rsid w:val="00FE14D3"/>
    <w:rsid w:val="00FE2108"/>
    <w:rsid w:val="00FE424B"/>
    <w:rsid w:val="00FE4538"/>
    <w:rsid w:val="00FE55E9"/>
    <w:rsid w:val="00FE6A83"/>
    <w:rsid w:val="00FE6B7F"/>
    <w:rsid w:val="00FE6EB6"/>
    <w:rsid w:val="00FE70F0"/>
    <w:rsid w:val="00FE7A6E"/>
    <w:rsid w:val="00FF07DE"/>
    <w:rsid w:val="00FF07ED"/>
    <w:rsid w:val="00FF0B75"/>
    <w:rsid w:val="00FF1168"/>
    <w:rsid w:val="00FF11E1"/>
    <w:rsid w:val="00FF1256"/>
    <w:rsid w:val="00FF1283"/>
    <w:rsid w:val="00FF1CC7"/>
    <w:rsid w:val="00FF1ECC"/>
    <w:rsid w:val="00FF288B"/>
    <w:rsid w:val="00FF31C4"/>
    <w:rsid w:val="00FF3363"/>
    <w:rsid w:val="00FF43AD"/>
    <w:rsid w:val="00FF43E0"/>
    <w:rsid w:val="00FF495C"/>
    <w:rsid w:val="00FF4E02"/>
    <w:rsid w:val="00FF528E"/>
    <w:rsid w:val="00FF52EC"/>
    <w:rsid w:val="00FF600B"/>
    <w:rsid w:val="00FF6CD8"/>
    <w:rsid w:val="00FF6D11"/>
    <w:rsid w:val="00FF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4F8D3D"/>
  <w15:docId w15:val="{815B5C32-7784-465C-A035-B849BFDDC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0103B"/>
    <w:pPr>
      <w:spacing w:before="120" w:after="120"/>
      <w:jc w:val="both"/>
    </w:pPr>
    <w:rPr>
      <w:rFonts w:ascii="Arial" w:hAnsi="Arial"/>
      <w:sz w:val="21"/>
      <w:szCs w:val="19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E110EA"/>
    <w:pPr>
      <w:keepNext/>
      <w:keepLines/>
      <w:pageBreakBefore/>
      <w:numPr>
        <w:numId w:val="4"/>
      </w:numPr>
      <w:spacing w:after="360"/>
      <w:ind w:left="431" w:hanging="431"/>
      <w:outlineLvl w:val="0"/>
    </w:pPr>
    <w:rPr>
      <w:rFonts w:eastAsiaTheme="majorEastAsia" w:cstheme="majorBidi"/>
      <w:b/>
      <w:bCs/>
      <w:color w:val="2E319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unhideWhenUsed/>
    <w:qFormat/>
    <w:rsid w:val="00E110EA"/>
    <w:pPr>
      <w:keepNext/>
      <w:keepLines/>
      <w:numPr>
        <w:ilvl w:val="1"/>
        <w:numId w:val="4"/>
      </w:numPr>
      <w:spacing w:before="240"/>
      <w:outlineLvl w:val="1"/>
    </w:pPr>
    <w:rPr>
      <w:rFonts w:eastAsiaTheme="majorEastAsia" w:cstheme="majorBidi"/>
      <w:b/>
      <w:bCs/>
      <w:caps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9"/>
    <w:unhideWhenUsed/>
    <w:qFormat/>
    <w:rsid w:val="00B56C5F"/>
    <w:pPr>
      <w:keepNext/>
      <w:keepLines/>
      <w:numPr>
        <w:ilvl w:val="2"/>
        <w:numId w:val="4"/>
      </w:numPr>
      <w:ind w:left="720"/>
      <w:outlineLvl w:val="2"/>
    </w:pPr>
    <w:rPr>
      <w:rFonts w:eastAsiaTheme="majorEastAsia" w:cstheme="majorBidi"/>
      <w:b/>
      <w:bCs/>
      <w:noProof/>
      <w:lang w:eastAsia="cs-CZ"/>
    </w:rPr>
  </w:style>
  <w:style w:type="paragraph" w:styleId="Nadpis4">
    <w:name w:val="heading 4"/>
    <w:basedOn w:val="Normln"/>
    <w:next w:val="Normln"/>
    <w:link w:val="Nadpis4Char"/>
    <w:uiPriority w:val="99"/>
    <w:unhideWhenUsed/>
    <w:qFormat/>
    <w:rsid w:val="00285353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rsid w:val="00285353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285353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nhideWhenUsed/>
    <w:qFormat/>
    <w:rsid w:val="00285353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nhideWhenUsed/>
    <w:qFormat/>
    <w:rsid w:val="00285353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Graf0"/>
    <w:next w:val="Normln"/>
    <w:link w:val="Nadpis9Char"/>
    <w:unhideWhenUsed/>
    <w:qFormat/>
    <w:rsid w:val="00551164"/>
    <w:pPr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86ED9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6ED9"/>
  </w:style>
  <w:style w:type="paragraph" w:styleId="Zpat">
    <w:name w:val="footer"/>
    <w:basedOn w:val="Normln"/>
    <w:link w:val="ZpatChar"/>
    <w:uiPriority w:val="99"/>
    <w:unhideWhenUsed/>
    <w:rsid w:val="00AE43A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43AB"/>
    <w:rPr>
      <w:rFonts w:asciiTheme="majorHAnsi" w:hAnsiTheme="majorHAnsi"/>
      <w:sz w:val="20"/>
    </w:rPr>
  </w:style>
  <w:style w:type="table" w:styleId="Mkatabulky">
    <w:name w:val="Table Grid"/>
    <w:basedOn w:val="Normlntabulka"/>
    <w:uiPriority w:val="59"/>
    <w:rsid w:val="00486E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B042F"/>
    <w:rPr>
      <w:b w:val="0"/>
      <w:color w:val="auto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E110EA"/>
    <w:rPr>
      <w:rFonts w:ascii="Arial" w:eastAsiaTheme="majorEastAsia" w:hAnsi="Arial" w:cstheme="majorBidi"/>
      <w:b/>
      <w:bCs/>
      <w:color w:val="2E3192"/>
      <w:sz w:val="28"/>
      <w:szCs w:val="28"/>
      <w:lang w:val="cs-CZ"/>
    </w:rPr>
  </w:style>
  <w:style w:type="character" w:customStyle="1" w:styleId="Nadpis2Char">
    <w:name w:val="Nadpis 2 Char"/>
    <w:basedOn w:val="Standardnpsmoodstavce"/>
    <w:link w:val="Nadpis2"/>
    <w:uiPriority w:val="99"/>
    <w:rsid w:val="00E110EA"/>
    <w:rPr>
      <w:rFonts w:ascii="Arial" w:eastAsiaTheme="majorEastAsia" w:hAnsi="Arial" w:cstheme="majorBidi"/>
      <w:b/>
      <w:bCs/>
      <w:caps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9"/>
    <w:rsid w:val="00B56C5F"/>
    <w:rPr>
      <w:rFonts w:ascii="Arial" w:eastAsiaTheme="majorEastAsia" w:hAnsi="Arial" w:cstheme="majorBidi"/>
      <w:b/>
      <w:bCs/>
      <w:noProof/>
      <w:sz w:val="21"/>
      <w:szCs w:val="19"/>
      <w:lang w:val="cs-CZ" w:eastAsia="cs-CZ"/>
    </w:rPr>
  </w:style>
  <w:style w:type="character" w:styleId="Siln">
    <w:name w:val="Strong"/>
    <w:basedOn w:val="Standardnpsmoodstavce"/>
    <w:uiPriority w:val="22"/>
    <w:rsid w:val="00285353"/>
    <w:rPr>
      <w:b/>
      <w:bCs/>
    </w:rPr>
  </w:style>
  <w:style w:type="paragraph" w:customStyle="1" w:styleId="Kaskda0">
    <w:name w:val="Kaskáda ●"/>
    <w:basedOn w:val="Normln"/>
    <w:link w:val="KaskdaChar"/>
    <w:qFormat/>
    <w:rsid w:val="00747F68"/>
    <w:pPr>
      <w:numPr>
        <w:numId w:val="17"/>
      </w:numPr>
      <w:spacing w:before="0" w:after="0"/>
      <w:ind w:left="641" w:hanging="357"/>
    </w:pPr>
  </w:style>
  <w:style w:type="character" w:styleId="Zdraznn">
    <w:name w:val="Emphasis"/>
    <w:basedOn w:val="Standardnpsmoodstavce"/>
    <w:uiPriority w:val="20"/>
    <w:rsid w:val="00285353"/>
    <w:rPr>
      <w:i/>
      <w:iCs/>
    </w:rPr>
  </w:style>
  <w:style w:type="character" w:styleId="Zdraznnintenzivn">
    <w:name w:val="Intense Emphasis"/>
    <w:basedOn w:val="Standardnpsmoodstavce"/>
    <w:uiPriority w:val="21"/>
    <w:rsid w:val="00285353"/>
    <w:rPr>
      <w:b/>
      <w:bCs/>
      <w:i/>
      <w:i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9"/>
    <w:rsid w:val="00285353"/>
    <w:rPr>
      <w:rFonts w:asciiTheme="majorHAnsi" w:eastAsiaTheme="majorEastAsia" w:hAnsiTheme="majorHAnsi" w:cstheme="majorBidi"/>
      <w:b/>
      <w:bCs/>
      <w:i/>
      <w:iCs/>
      <w:color w:val="4F81BD" w:themeColor="accent1"/>
      <w:sz w:val="21"/>
      <w:szCs w:val="19"/>
      <w:lang w:val="cs-CZ"/>
    </w:rPr>
  </w:style>
  <w:style w:type="paragraph" w:styleId="Textpoznpodarou">
    <w:name w:val="footnote text"/>
    <w:aliases w:val="Footnote,Text poznámky pod čiarou 007,Text pozn. pod čarou Char2,Text pozn. pod čarou Char Char,Text pozn. pod čarou Char1 Char,Schriftart: 8 pt Char,Text pozn. pod čarou Char1,Schriftart: 8 pt,Geneva 9,f,Schriftart: 9 pt,Boston 10"/>
    <w:basedOn w:val="Normln"/>
    <w:link w:val="TextpoznpodarouChar"/>
    <w:uiPriority w:val="99"/>
    <w:unhideWhenUsed/>
    <w:rsid w:val="00880888"/>
    <w:pPr>
      <w:spacing w:line="240" w:lineRule="auto"/>
    </w:pPr>
    <w:rPr>
      <w:sz w:val="18"/>
      <w:szCs w:val="20"/>
    </w:rPr>
  </w:style>
  <w:style w:type="character" w:customStyle="1" w:styleId="TextpoznpodarouChar">
    <w:name w:val="Text pozn. pod čarou Char"/>
    <w:aliases w:val="Footnote Char,Text poznámky pod čiarou 007 Char,Text pozn. pod čarou Char2 Char,Text pozn. pod čarou Char Char Char,Text pozn. pod čarou Char1 Char Char,Schriftart: 8 pt Char Char,Text pozn. pod čarou Char1 Char1,Geneva 9 Char"/>
    <w:basedOn w:val="Standardnpsmoodstavce"/>
    <w:link w:val="Textpoznpodarou"/>
    <w:uiPriority w:val="99"/>
    <w:rsid w:val="00880888"/>
    <w:rPr>
      <w:rFonts w:asciiTheme="majorHAnsi" w:hAnsiTheme="majorHAnsi"/>
      <w:sz w:val="18"/>
      <w:szCs w:val="20"/>
    </w:rPr>
  </w:style>
  <w:style w:type="character" w:styleId="Znakapoznpodarou">
    <w:name w:val="footnote reference"/>
    <w:aliases w:val="PGI Fußnote Ziffer + Times New Roman,12 b.,Zúžené o ...,PGI Fußnote Ziffer"/>
    <w:basedOn w:val="Standardnpsmoodstavce"/>
    <w:uiPriority w:val="99"/>
    <w:unhideWhenUsed/>
    <w:rsid w:val="00880888"/>
    <w:rPr>
      <w:vertAlign w:val="superscript"/>
    </w:rPr>
  </w:style>
  <w:style w:type="paragraph" w:customStyle="1" w:styleId="Tabulkovtext">
    <w:name w:val="Tabulkový text"/>
    <w:basedOn w:val="Normln"/>
    <w:rsid w:val="00491A42"/>
    <w:pPr>
      <w:suppressAutoHyphens/>
      <w:spacing w:line="240" w:lineRule="auto"/>
    </w:pPr>
  </w:style>
  <w:style w:type="character" w:customStyle="1" w:styleId="Nadpis5Char">
    <w:name w:val="Nadpis 5 Char"/>
    <w:basedOn w:val="Standardnpsmoodstavce"/>
    <w:link w:val="Nadpis5"/>
    <w:rsid w:val="00285353"/>
    <w:rPr>
      <w:rFonts w:asciiTheme="majorHAnsi" w:eastAsiaTheme="majorEastAsia" w:hAnsiTheme="majorHAnsi" w:cstheme="majorBidi"/>
      <w:color w:val="243F60" w:themeColor="accent1" w:themeShade="7F"/>
      <w:sz w:val="21"/>
      <w:szCs w:val="19"/>
      <w:lang w:val="cs-CZ"/>
    </w:rPr>
  </w:style>
  <w:style w:type="paragraph" w:styleId="Obsah2">
    <w:name w:val="toc 2"/>
    <w:basedOn w:val="Normln"/>
    <w:next w:val="Normln"/>
    <w:autoRedefine/>
    <w:uiPriority w:val="39"/>
    <w:unhideWhenUsed/>
    <w:rsid w:val="00DA3019"/>
    <w:pPr>
      <w:tabs>
        <w:tab w:val="left" w:pos="454"/>
        <w:tab w:val="right" w:leader="dot" w:pos="10206"/>
      </w:tabs>
      <w:spacing w:after="100"/>
      <w:ind w:left="284"/>
    </w:pPr>
    <w:rPr>
      <w:color w:val="2E3192"/>
    </w:rPr>
  </w:style>
  <w:style w:type="paragraph" w:styleId="Obsah1">
    <w:name w:val="toc 1"/>
    <w:basedOn w:val="Normln"/>
    <w:next w:val="Normln"/>
    <w:autoRedefine/>
    <w:uiPriority w:val="39"/>
    <w:unhideWhenUsed/>
    <w:rsid w:val="00572F00"/>
    <w:pPr>
      <w:tabs>
        <w:tab w:val="left" w:pos="312"/>
        <w:tab w:val="right" w:leader="dot" w:pos="10206"/>
      </w:tabs>
      <w:spacing w:after="100"/>
    </w:pPr>
    <w:rPr>
      <w:noProof/>
      <w:color w:val="2E3192"/>
      <w:szCs w:val="28"/>
    </w:rPr>
  </w:style>
  <w:style w:type="paragraph" w:styleId="Obsah3">
    <w:name w:val="toc 3"/>
    <w:basedOn w:val="Normln"/>
    <w:next w:val="Normln"/>
    <w:autoRedefine/>
    <w:uiPriority w:val="39"/>
    <w:unhideWhenUsed/>
    <w:rsid w:val="00BF516A"/>
    <w:pPr>
      <w:spacing w:after="100"/>
      <w:ind w:left="400"/>
    </w:pPr>
  </w:style>
  <w:style w:type="paragraph" w:customStyle="1" w:styleId="Kaskda">
    <w:name w:val="Kaskáda #"/>
    <w:basedOn w:val="Normln"/>
    <w:link w:val="KaskdaChar0"/>
    <w:qFormat/>
    <w:rsid w:val="000C0BF4"/>
    <w:pPr>
      <w:numPr>
        <w:numId w:val="2"/>
      </w:numPr>
    </w:pPr>
    <w:rPr>
      <w:noProof/>
    </w:rPr>
  </w:style>
  <w:style w:type="numbering" w:customStyle="1" w:styleId="Grafy">
    <w:name w:val="Grafy"/>
    <w:uiPriority w:val="99"/>
    <w:rsid w:val="005644CE"/>
    <w:pPr>
      <w:numPr>
        <w:numId w:val="7"/>
      </w:numPr>
    </w:pPr>
  </w:style>
  <w:style w:type="paragraph" w:styleId="Seznamobrzk">
    <w:name w:val="table of figures"/>
    <w:basedOn w:val="Normln"/>
    <w:next w:val="Normln"/>
    <w:link w:val="SeznamobrzkChar"/>
    <w:uiPriority w:val="99"/>
    <w:unhideWhenUsed/>
    <w:rsid w:val="00572F00"/>
    <w:pPr>
      <w:tabs>
        <w:tab w:val="left" w:pos="1418"/>
        <w:tab w:val="right" w:leader="dot" w:pos="10206"/>
      </w:tabs>
      <w:spacing w:before="0" w:after="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034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3439"/>
    <w:rPr>
      <w:rFonts w:ascii="Tahoma" w:hAnsi="Tahoma" w:cs="Tahoma"/>
      <w:sz w:val="16"/>
      <w:szCs w:val="16"/>
    </w:rPr>
  </w:style>
  <w:style w:type="character" w:customStyle="1" w:styleId="Poznmkapodarou">
    <w:name w:val="Poznámka pod čarou_"/>
    <w:basedOn w:val="Standardnpsmoodstavce"/>
    <w:link w:val="Poznmkapodarou0"/>
    <w:rsid w:val="00D03439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ZkladntextVerdana95ptTun">
    <w:name w:val="Základní text + Verdana;9;5 pt;Tučné"/>
    <w:basedOn w:val="Standardnpsmoodstavce"/>
    <w:rsid w:val="00D03439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</w:rPr>
  </w:style>
  <w:style w:type="paragraph" w:customStyle="1" w:styleId="Poznmkapodarou0">
    <w:name w:val="Poznámka pod čarou"/>
    <w:basedOn w:val="Normln"/>
    <w:link w:val="Poznmkapodarou"/>
    <w:rsid w:val="00D03439"/>
    <w:pPr>
      <w:shd w:val="clear" w:color="auto" w:fill="FFFFFF"/>
      <w:spacing w:line="0" w:lineRule="atLeast"/>
      <w:ind w:hanging="360"/>
    </w:pPr>
    <w:rPr>
      <w:rFonts w:eastAsia="Arial" w:cs="Arial"/>
      <w:szCs w:val="20"/>
    </w:rPr>
  </w:style>
  <w:style w:type="character" w:customStyle="1" w:styleId="Nadpis7Char">
    <w:name w:val="Nadpis 7 Char"/>
    <w:basedOn w:val="Standardnpsmoodstavce"/>
    <w:link w:val="Nadpis7"/>
    <w:rsid w:val="00285353"/>
    <w:rPr>
      <w:rFonts w:asciiTheme="majorHAnsi" w:eastAsiaTheme="majorEastAsia" w:hAnsiTheme="majorHAnsi" w:cstheme="majorBidi"/>
      <w:i/>
      <w:iCs/>
      <w:color w:val="404040" w:themeColor="text1" w:themeTint="BF"/>
      <w:sz w:val="21"/>
      <w:szCs w:val="19"/>
      <w:lang w:val="cs-CZ"/>
    </w:rPr>
  </w:style>
  <w:style w:type="character" w:customStyle="1" w:styleId="Nadpis8Char">
    <w:name w:val="Nadpis 8 Char"/>
    <w:basedOn w:val="Standardnpsmoodstavce"/>
    <w:link w:val="Nadpis8"/>
    <w:rsid w:val="00285353"/>
    <w:rPr>
      <w:rFonts w:asciiTheme="majorHAnsi" w:eastAsiaTheme="majorEastAsia" w:hAnsiTheme="majorHAnsi" w:cstheme="majorBidi"/>
      <w:color w:val="4F81BD" w:themeColor="accent1"/>
      <w:sz w:val="20"/>
      <w:szCs w:val="20"/>
      <w:lang w:val="cs-CZ"/>
    </w:rPr>
  </w:style>
  <w:style w:type="character" w:customStyle="1" w:styleId="Nadpis9Char">
    <w:name w:val="Nadpis 9 Char"/>
    <w:basedOn w:val="Standardnpsmoodstavce"/>
    <w:link w:val="Nadpis9"/>
    <w:rsid w:val="00551164"/>
    <w:rPr>
      <w:rFonts w:ascii="Arial" w:eastAsiaTheme="minorHAnsi" w:hAnsi="Arial"/>
      <w:b/>
      <w:sz w:val="21"/>
      <w:szCs w:val="19"/>
      <w:lang w:val="cs-CZ"/>
    </w:rPr>
  </w:style>
  <w:style w:type="paragraph" w:styleId="Nzev">
    <w:name w:val="Title"/>
    <w:basedOn w:val="Normln"/>
    <w:next w:val="Normln"/>
    <w:link w:val="NzevChar"/>
    <w:uiPriority w:val="10"/>
    <w:qFormat/>
    <w:rsid w:val="0028535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2853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85353"/>
    <w:pPr>
      <w:outlineLvl w:val="9"/>
    </w:pPr>
  </w:style>
  <w:style w:type="paragraph" w:customStyle="1" w:styleId="AQE1">
    <w:name w:val="AQE 1"/>
    <w:basedOn w:val="Nadpis1"/>
    <w:link w:val="AQE1Char"/>
    <w:rsid w:val="008E29AC"/>
    <w:pPr>
      <w:numPr>
        <w:numId w:val="0"/>
      </w:numPr>
    </w:pPr>
    <w:rPr>
      <w:rFonts w:eastAsia="Times New Roman"/>
    </w:rPr>
  </w:style>
  <w:style w:type="character" w:customStyle="1" w:styleId="AQE1Char">
    <w:name w:val="AQE 1 Char"/>
    <w:link w:val="AQE1"/>
    <w:rsid w:val="008E29AC"/>
    <w:rPr>
      <w:rFonts w:ascii="Cambria" w:eastAsia="Times New Roman" w:hAnsi="Cambria" w:cs="Arial"/>
      <w:b/>
      <w:bCs/>
      <w:kern w:val="32"/>
      <w:sz w:val="36"/>
      <w:szCs w:val="32"/>
      <w:lang w:eastAsia="cs-CZ"/>
    </w:rPr>
  </w:style>
  <w:style w:type="paragraph" w:customStyle="1" w:styleId="AQE11">
    <w:name w:val="AQE 1.1"/>
    <w:basedOn w:val="Nadpis2"/>
    <w:link w:val="AQE11Char"/>
    <w:rsid w:val="00CB2EDC"/>
    <w:pPr>
      <w:numPr>
        <w:ilvl w:val="0"/>
        <w:numId w:val="0"/>
      </w:numPr>
    </w:pPr>
    <w:rPr>
      <w:rFonts w:ascii="Verdana Pro" w:eastAsia="Times New Roman" w:hAnsi="Verdana Pro"/>
      <w:b w:val="0"/>
    </w:rPr>
  </w:style>
  <w:style w:type="character" w:customStyle="1" w:styleId="AQE11Char">
    <w:name w:val="AQE 1.1 Char"/>
    <w:link w:val="AQE11"/>
    <w:rsid w:val="00CB2EDC"/>
    <w:rPr>
      <w:rFonts w:ascii="Verdana Pro" w:eastAsia="Times New Roman" w:hAnsi="Verdana Pro" w:cs="Arial"/>
      <w:b/>
      <w:bCs/>
      <w:iCs/>
      <w:caps/>
      <w:sz w:val="24"/>
      <w:szCs w:val="28"/>
      <w:lang w:eastAsia="cs-CZ"/>
    </w:rPr>
  </w:style>
  <w:style w:type="paragraph" w:customStyle="1" w:styleId="AQE111">
    <w:name w:val="AQE 1.1.1"/>
    <w:basedOn w:val="Nadpis3"/>
    <w:link w:val="AQE111Char"/>
    <w:rsid w:val="00043514"/>
    <w:pPr>
      <w:numPr>
        <w:ilvl w:val="0"/>
        <w:numId w:val="0"/>
      </w:numPr>
    </w:pPr>
    <w:rPr>
      <w:rFonts w:eastAsia="Times New Roman"/>
    </w:rPr>
  </w:style>
  <w:style w:type="character" w:customStyle="1" w:styleId="AQE111Char">
    <w:name w:val="AQE 1.1.1 Char"/>
    <w:link w:val="AQE111"/>
    <w:rsid w:val="00043514"/>
    <w:rPr>
      <w:rFonts w:ascii="Verdana" w:eastAsia="Times New Roman" w:hAnsi="Verdana" w:cs="Arial"/>
      <w:b/>
      <w:bCs/>
      <w:sz w:val="19"/>
      <w:szCs w:val="26"/>
      <w:lang w:val="cs-CZ" w:eastAsia="cs-CZ"/>
    </w:rPr>
  </w:style>
  <w:style w:type="paragraph" w:customStyle="1" w:styleId="AQE1111">
    <w:name w:val="AQE 1.1.1.1"/>
    <w:basedOn w:val="Nadpis4"/>
    <w:link w:val="AQE1111Char"/>
    <w:rsid w:val="008E29AC"/>
    <w:pPr>
      <w:numPr>
        <w:ilvl w:val="0"/>
        <w:numId w:val="0"/>
      </w:numPr>
    </w:pPr>
    <w:rPr>
      <w:rFonts w:eastAsia="Times New Roman"/>
    </w:rPr>
  </w:style>
  <w:style w:type="character" w:customStyle="1" w:styleId="AQE1111Char">
    <w:name w:val="AQE 1.1.1.1 Char"/>
    <w:link w:val="AQE1111"/>
    <w:rsid w:val="008E29AC"/>
    <w:rPr>
      <w:rFonts w:ascii="Cambria" w:eastAsia="Times New Roman" w:hAnsi="Cambria" w:cs="Arial"/>
      <w:b/>
      <w:sz w:val="21"/>
      <w:szCs w:val="28"/>
      <w:lang w:eastAsia="cs-CZ"/>
    </w:rPr>
  </w:style>
  <w:style w:type="paragraph" w:customStyle="1" w:styleId="AQEA">
    <w:name w:val="AQE A"/>
    <w:basedOn w:val="Normln"/>
    <w:autoRedefine/>
    <w:rsid w:val="008E29AC"/>
    <w:pPr>
      <w:shd w:val="clear" w:color="auto" w:fill="A43D3A"/>
    </w:pPr>
    <w:rPr>
      <w:rFonts w:ascii="Calibri" w:eastAsia="Times New Roman" w:hAnsi="Calibri"/>
      <w:b/>
      <w:color w:val="FFFFFF"/>
      <w:sz w:val="28"/>
      <w:szCs w:val="28"/>
    </w:rPr>
  </w:style>
  <w:style w:type="paragraph" w:customStyle="1" w:styleId="AQE3">
    <w:name w:val="AQE3"/>
    <w:basedOn w:val="Normln"/>
    <w:link w:val="AQE3Char"/>
    <w:rsid w:val="008E29AC"/>
    <w:pPr>
      <w:autoSpaceDE w:val="0"/>
      <w:autoSpaceDN w:val="0"/>
      <w:adjustRightInd w:val="0"/>
    </w:pPr>
    <w:rPr>
      <w:b/>
    </w:rPr>
  </w:style>
  <w:style w:type="character" w:customStyle="1" w:styleId="AQE3Char">
    <w:name w:val="AQE3 Char"/>
    <w:basedOn w:val="Standardnpsmoodstavce"/>
    <w:link w:val="AQE3"/>
    <w:rsid w:val="008E29AC"/>
    <w:rPr>
      <w:rFonts w:ascii="Cambria" w:hAnsi="Cambria"/>
      <w:b/>
      <w:sz w:val="21"/>
      <w:szCs w:val="24"/>
      <w:lang w:val="cs-CZ"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1B0489"/>
    <w:pPr>
      <w:spacing w:line="240" w:lineRule="auto"/>
      <w:jc w:val="left"/>
    </w:pPr>
    <w:rPr>
      <w:b/>
      <w:bCs/>
      <w:caps/>
      <w:color w:val="000000" w:themeColor="text1"/>
      <w:sz w:val="44"/>
      <w:szCs w:val="18"/>
    </w:rPr>
  </w:style>
  <w:style w:type="character" w:customStyle="1" w:styleId="apple-style-span">
    <w:name w:val="apple-style-span"/>
    <w:basedOn w:val="Standardnpsmoodstavce"/>
    <w:rsid w:val="00283373"/>
  </w:style>
  <w:style w:type="paragraph" w:styleId="Revize">
    <w:name w:val="Revision"/>
    <w:hidden/>
    <w:uiPriority w:val="99"/>
    <w:semiHidden/>
    <w:rsid w:val="006B7DB8"/>
    <w:rPr>
      <w:rFonts w:ascii="Cambria" w:hAnsi="Cambria"/>
      <w:sz w:val="21"/>
      <w:szCs w:val="24"/>
      <w:lang w:val="cs-CZ" w:eastAsia="cs-CZ"/>
    </w:rPr>
  </w:style>
  <w:style w:type="numbering" w:customStyle="1" w:styleId="Seznamgraf">
    <w:name w:val="Seznam grafů"/>
    <w:uiPriority w:val="99"/>
    <w:rsid w:val="0031612D"/>
    <w:pPr>
      <w:numPr>
        <w:numId w:val="1"/>
      </w:numPr>
    </w:pPr>
  </w:style>
  <w:style w:type="paragraph" w:styleId="Rejstk1">
    <w:name w:val="index 1"/>
    <w:basedOn w:val="Normln"/>
    <w:next w:val="Normln"/>
    <w:autoRedefine/>
    <w:uiPriority w:val="99"/>
    <w:semiHidden/>
    <w:unhideWhenUsed/>
    <w:rsid w:val="006B7DB8"/>
    <w:pPr>
      <w:spacing w:line="240" w:lineRule="auto"/>
      <w:ind w:left="210" w:hanging="210"/>
    </w:pPr>
  </w:style>
  <w:style w:type="paragraph" w:customStyle="1" w:styleId="Seznamtabulek">
    <w:name w:val="Seznam tabulek"/>
    <w:basedOn w:val="Seznamobrzk"/>
    <w:link w:val="SeznamtabulekChar"/>
    <w:rsid w:val="00B36A9F"/>
  </w:style>
  <w:style w:type="character" w:customStyle="1" w:styleId="SeznamobrzkChar">
    <w:name w:val="Seznam obrázků Char"/>
    <w:basedOn w:val="Standardnpsmoodstavce"/>
    <w:link w:val="Seznamobrzk"/>
    <w:uiPriority w:val="99"/>
    <w:rsid w:val="00572F00"/>
    <w:rPr>
      <w:szCs w:val="19"/>
      <w:lang w:val="cs-CZ"/>
    </w:rPr>
  </w:style>
  <w:style w:type="character" w:customStyle="1" w:styleId="SeznamtabulekChar">
    <w:name w:val="Seznam tabulek Char"/>
    <w:basedOn w:val="SeznamobrzkChar"/>
    <w:link w:val="Seznamtabulek"/>
    <w:rsid w:val="00B36A9F"/>
    <w:rPr>
      <w:rFonts w:ascii="Cambria" w:hAnsi="Cambria"/>
      <w:sz w:val="21"/>
      <w:szCs w:val="24"/>
      <w:lang w:val="cs-CZ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20F1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0F1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20F16"/>
    <w:rPr>
      <w:rFonts w:ascii="Cambria" w:hAnsi="Cambria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20F1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20F16"/>
    <w:rPr>
      <w:rFonts w:ascii="Cambria" w:hAnsi="Cambria"/>
      <w:b/>
      <w:bCs/>
      <w:lang w:val="cs-CZ" w:eastAsia="cs-CZ"/>
    </w:rPr>
  </w:style>
  <w:style w:type="paragraph" w:styleId="Normlnweb">
    <w:name w:val="Normal (Web)"/>
    <w:basedOn w:val="Normln"/>
    <w:uiPriority w:val="99"/>
    <w:semiHidden/>
    <w:unhideWhenUsed/>
    <w:rsid w:val="001013E2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Odrky">
    <w:name w:val="Odrážky"/>
    <w:basedOn w:val="Normln"/>
    <w:rsid w:val="000C0BF4"/>
  </w:style>
  <w:style w:type="paragraph" w:styleId="Obsah4">
    <w:name w:val="toc 4"/>
    <w:basedOn w:val="Normln"/>
    <w:next w:val="Normln"/>
    <w:autoRedefine/>
    <w:uiPriority w:val="39"/>
    <w:unhideWhenUsed/>
    <w:rsid w:val="001B0B02"/>
    <w:pPr>
      <w:spacing w:after="100" w:line="259" w:lineRule="auto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1B0B02"/>
    <w:pPr>
      <w:spacing w:after="100" w:line="259" w:lineRule="auto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1B0B02"/>
    <w:pPr>
      <w:spacing w:after="100" w:line="259" w:lineRule="auto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1B0B02"/>
    <w:pPr>
      <w:spacing w:after="100" w:line="259" w:lineRule="auto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1B0B02"/>
    <w:pPr>
      <w:spacing w:after="100" w:line="259" w:lineRule="auto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1B0B02"/>
    <w:pPr>
      <w:spacing w:after="100" w:line="259" w:lineRule="auto"/>
      <w:ind w:left="1760"/>
    </w:pPr>
  </w:style>
  <w:style w:type="character" w:customStyle="1" w:styleId="ZkladntextKurzva">
    <w:name w:val="Základní text + Kurzíva"/>
    <w:basedOn w:val="Standardnpsmoodstavce"/>
    <w:rsid w:val="000C06A2"/>
    <w:rPr>
      <w:rFonts w:ascii="Times New Roman" w:eastAsia="Times New Roman" w:hAnsi="Times New Roman"/>
      <w:i/>
      <w:iCs/>
      <w:sz w:val="21"/>
      <w:szCs w:val="21"/>
      <w:shd w:val="clear" w:color="auto" w:fill="FFFFFF"/>
    </w:rPr>
  </w:style>
  <w:style w:type="character" w:customStyle="1" w:styleId="Zkladntext3Nekurzva">
    <w:name w:val="Základní text (3) + Ne kurzíva"/>
    <w:basedOn w:val="Standardnpsmoodstavce"/>
    <w:rsid w:val="000C06A2"/>
    <w:rPr>
      <w:rFonts w:ascii="Times New Roman" w:eastAsia="Times New Roman" w:hAnsi="Times New Roman"/>
      <w:i/>
      <w:iCs/>
      <w:sz w:val="21"/>
      <w:szCs w:val="21"/>
      <w:shd w:val="clear" w:color="auto" w:fill="FFFFFF"/>
    </w:rPr>
  </w:style>
  <w:style w:type="character" w:customStyle="1" w:styleId="apple-converted-space">
    <w:name w:val="apple-converted-space"/>
    <w:basedOn w:val="Standardnpsmoodstavce"/>
    <w:rsid w:val="00AB1EC9"/>
  </w:style>
  <w:style w:type="character" w:customStyle="1" w:styleId="Nadpis6Char">
    <w:name w:val="Nadpis 6 Char"/>
    <w:basedOn w:val="Standardnpsmoodstavce"/>
    <w:link w:val="Nadpis6"/>
    <w:semiHidden/>
    <w:rsid w:val="00285353"/>
    <w:rPr>
      <w:rFonts w:asciiTheme="majorHAnsi" w:eastAsiaTheme="majorEastAsia" w:hAnsiTheme="majorHAnsi" w:cstheme="majorBidi"/>
      <w:i/>
      <w:iCs/>
      <w:color w:val="243F60" w:themeColor="accent1" w:themeShade="7F"/>
      <w:sz w:val="21"/>
      <w:szCs w:val="19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8535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28535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ezmezer">
    <w:name w:val="No Spacing"/>
    <w:uiPriority w:val="1"/>
    <w:rsid w:val="00285353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957F27"/>
    <w:pPr>
      <w:spacing w:before="0" w:after="0"/>
      <w:jc w:val="left"/>
    </w:pPr>
    <w:rPr>
      <w:b/>
      <w:i/>
      <w:iCs/>
      <w:color w:val="000000" w:themeColor="text1"/>
      <w:sz w:val="22"/>
    </w:rPr>
  </w:style>
  <w:style w:type="character" w:customStyle="1" w:styleId="CittChar">
    <w:name w:val="Citát Char"/>
    <w:basedOn w:val="Standardnpsmoodstavce"/>
    <w:link w:val="Citt"/>
    <w:uiPriority w:val="29"/>
    <w:rsid w:val="00957F27"/>
    <w:rPr>
      <w:rFonts w:ascii="Arial" w:hAnsi="Arial"/>
      <w:b/>
      <w:i/>
      <w:iCs/>
      <w:color w:val="000000" w:themeColor="text1"/>
      <w:szCs w:val="19"/>
      <w:lang w:val="cs-CZ"/>
    </w:rPr>
  </w:style>
  <w:style w:type="paragraph" w:styleId="Vrazncitt">
    <w:name w:val="Intense Quote"/>
    <w:basedOn w:val="Normln"/>
    <w:next w:val="Normln"/>
    <w:link w:val="VrazncittChar"/>
    <w:uiPriority w:val="30"/>
    <w:rsid w:val="0028535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85353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rsid w:val="00285353"/>
    <w:rPr>
      <w:i/>
      <w:iCs/>
      <w:color w:val="808080" w:themeColor="text1" w:themeTint="7F"/>
    </w:rPr>
  </w:style>
  <w:style w:type="character" w:styleId="Odkazjemn">
    <w:name w:val="Subtle Reference"/>
    <w:basedOn w:val="Standardnpsmoodstavce"/>
    <w:uiPriority w:val="31"/>
    <w:qFormat/>
    <w:rsid w:val="00285353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rsid w:val="00285353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rsid w:val="00285353"/>
    <w:rPr>
      <w:b/>
      <w:bCs/>
      <w:smallCaps/>
      <w:spacing w:val="5"/>
    </w:rPr>
  </w:style>
  <w:style w:type="paragraph" w:customStyle="1" w:styleId="Tabulka">
    <w:name w:val="Tabulka"/>
    <w:basedOn w:val="Normln"/>
    <w:link w:val="TabulkaChar"/>
    <w:qFormat/>
    <w:rsid w:val="009A770A"/>
    <w:pPr>
      <w:keepNext/>
      <w:numPr>
        <w:numId w:val="9"/>
      </w:numPr>
      <w:tabs>
        <w:tab w:val="clear" w:pos="2552"/>
      </w:tabs>
      <w:ind w:left="0"/>
    </w:pPr>
    <w:rPr>
      <w:b/>
      <w:bCs/>
    </w:rPr>
  </w:style>
  <w:style w:type="paragraph" w:customStyle="1" w:styleId="Graf0">
    <w:name w:val="Graf"/>
    <w:basedOn w:val="Normln"/>
    <w:link w:val="GrafChar"/>
    <w:qFormat/>
    <w:rsid w:val="00243A70"/>
    <w:pPr>
      <w:keepNext/>
      <w:numPr>
        <w:numId w:val="6"/>
      </w:numPr>
      <w:tabs>
        <w:tab w:val="clear" w:pos="1276"/>
        <w:tab w:val="left" w:pos="1134"/>
      </w:tabs>
    </w:pPr>
    <w:rPr>
      <w:rFonts w:eastAsiaTheme="minorHAnsi"/>
      <w:b/>
    </w:rPr>
  </w:style>
  <w:style w:type="paragraph" w:customStyle="1" w:styleId="altNadpis3">
    <w:name w:val="altNadpis3"/>
    <w:basedOn w:val="Normln"/>
    <w:link w:val="altNadpis3Char"/>
    <w:qFormat/>
    <w:rsid w:val="006974E7"/>
    <w:rPr>
      <w:b/>
    </w:rPr>
  </w:style>
  <w:style w:type="character" w:customStyle="1" w:styleId="TabulkaChar">
    <w:name w:val="Tabulka Char"/>
    <w:basedOn w:val="Standardnpsmoodstavce"/>
    <w:link w:val="Tabulka"/>
    <w:rsid w:val="009A770A"/>
    <w:rPr>
      <w:rFonts w:ascii="Arial" w:hAnsi="Arial"/>
      <w:b/>
      <w:bCs/>
      <w:sz w:val="21"/>
      <w:szCs w:val="19"/>
      <w:lang w:val="cs-CZ"/>
    </w:rPr>
  </w:style>
  <w:style w:type="paragraph" w:customStyle="1" w:styleId="altNadpis1">
    <w:name w:val="altNadpis1"/>
    <w:basedOn w:val="Normln"/>
    <w:link w:val="altNadpis1Char"/>
    <w:qFormat/>
    <w:rsid w:val="00264654"/>
    <w:rPr>
      <w:b/>
      <w:color w:val="2E3192"/>
      <w:sz w:val="28"/>
      <w:szCs w:val="28"/>
    </w:rPr>
  </w:style>
  <w:style w:type="numbering" w:customStyle="1" w:styleId="Tabulky">
    <w:name w:val="Tabulky"/>
    <w:uiPriority w:val="99"/>
    <w:rsid w:val="005644CE"/>
    <w:pPr>
      <w:numPr>
        <w:numId w:val="8"/>
      </w:numPr>
    </w:pPr>
  </w:style>
  <w:style w:type="character" w:customStyle="1" w:styleId="GrafChar">
    <w:name w:val="Graf Char"/>
    <w:basedOn w:val="Standardnpsmoodstavce"/>
    <w:link w:val="Graf0"/>
    <w:rsid w:val="00243A70"/>
    <w:rPr>
      <w:rFonts w:ascii="Arial" w:eastAsiaTheme="minorHAnsi" w:hAnsi="Arial"/>
      <w:b/>
      <w:sz w:val="21"/>
      <w:szCs w:val="19"/>
      <w:lang w:val="cs-CZ"/>
    </w:rPr>
  </w:style>
  <w:style w:type="paragraph" w:customStyle="1" w:styleId="Odstavecsslem">
    <w:name w:val="Odstavec s číslem"/>
    <w:basedOn w:val="Normln"/>
    <w:link w:val="OdstavecsslemChar"/>
    <w:qFormat/>
    <w:rsid w:val="000C0BF4"/>
    <w:pPr>
      <w:numPr>
        <w:numId w:val="3"/>
      </w:numPr>
      <w:ind w:left="284" w:hanging="284"/>
    </w:pPr>
    <w:rPr>
      <w:bCs/>
    </w:rPr>
  </w:style>
  <w:style w:type="character" w:customStyle="1" w:styleId="altNadpis1Char">
    <w:name w:val="altNadpis1 Char"/>
    <w:basedOn w:val="Standardnpsmoodstavce"/>
    <w:link w:val="altNadpis1"/>
    <w:rsid w:val="00264654"/>
    <w:rPr>
      <w:rFonts w:ascii="Verdana" w:hAnsi="Verdana"/>
      <w:b/>
      <w:color w:val="2E3192"/>
      <w:sz w:val="28"/>
      <w:szCs w:val="28"/>
      <w:lang w:val="cs-CZ"/>
    </w:rPr>
  </w:style>
  <w:style w:type="paragraph" w:customStyle="1" w:styleId="Titul">
    <w:name w:val="Titul"/>
    <w:basedOn w:val="Normln"/>
    <w:link w:val="TitulChar"/>
    <w:qFormat/>
    <w:rsid w:val="00D02FA2"/>
    <w:pPr>
      <w:keepNext/>
      <w:pBdr>
        <w:top w:val="single" w:sz="24" w:space="1" w:color="0018F5"/>
        <w:left w:val="single" w:sz="24" w:space="4" w:color="0018F5"/>
        <w:bottom w:val="single" w:sz="24" w:space="1" w:color="0018F5"/>
        <w:right w:val="single" w:sz="24" w:space="4" w:color="0018F5"/>
      </w:pBdr>
      <w:shd w:val="clear" w:color="auto" w:fill="0018F5"/>
      <w:spacing w:line="240" w:lineRule="auto"/>
      <w:ind w:left="170" w:right="170"/>
      <w:jc w:val="left"/>
    </w:pPr>
    <w:rPr>
      <w:b/>
      <w:caps/>
      <w:color w:val="FFFFFF" w:themeColor="background1"/>
      <w:sz w:val="22"/>
      <w:szCs w:val="44"/>
    </w:rPr>
  </w:style>
  <w:style w:type="character" w:customStyle="1" w:styleId="OdstavecsslemChar">
    <w:name w:val="Odstavec s číslem Char"/>
    <w:basedOn w:val="Standardnpsmoodstavce"/>
    <w:link w:val="Odstavecsslem"/>
    <w:rsid w:val="000C0BF4"/>
    <w:rPr>
      <w:rFonts w:ascii="Arial" w:hAnsi="Arial"/>
      <w:bCs/>
      <w:sz w:val="21"/>
      <w:szCs w:val="19"/>
      <w:lang w:val="cs-CZ"/>
    </w:rPr>
  </w:style>
  <w:style w:type="character" w:customStyle="1" w:styleId="KaskdaChar0">
    <w:name w:val="Kaskáda # Char"/>
    <w:basedOn w:val="Standardnpsmoodstavce"/>
    <w:link w:val="Kaskda"/>
    <w:rsid w:val="000C0BF4"/>
    <w:rPr>
      <w:rFonts w:ascii="Arial" w:hAnsi="Arial"/>
      <w:noProof/>
      <w:sz w:val="21"/>
      <w:szCs w:val="19"/>
      <w:lang w:val="cs-CZ"/>
    </w:rPr>
  </w:style>
  <w:style w:type="character" w:customStyle="1" w:styleId="TitulChar">
    <w:name w:val="Titul Char"/>
    <w:basedOn w:val="Standardnpsmoodstavce"/>
    <w:link w:val="Titul"/>
    <w:rsid w:val="00D02FA2"/>
    <w:rPr>
      <w:rFonts w:ascii="Arial" w:hAnsi="Arial"/>
      <w:b/>
      <w:caps/>
      <w:color w:val="FFFFFF" w:themeColor="background1"/>
      <w:szCs w:val="44"/>
      <w:shd w:val="clear" w:color="auto" w:fill="0018F5"/>
      <w:lang w:val="cs-CZ"/>
    </w:rPr>
  </w:style>
  <w:style w:type="paragraph" w:customStyle="1" w:styleId="Ploha">
    <w:name w:val="Příloha"/>
    <w:basedOn w:val="Normln"/>
    <w:link w:val="PlohaChar"/>
    <w:qFormat/>
    <w:rsid w:val="00B43EC9"/>
    <w:pPr>
      <w:pageBreakBefore/>
      <w:numPr>
        <w:numId w:val="11"/>
      </w:numPr>
      <w:tabs>
        <w:tab w:val="left" w:pos="1276"/>
      </w:tabs>
    </w:pPr>
    <w:rPr>
      <w:b/>
    </w:rPr>
  </w:style>
  <w:style w:type="paragraph" w:customStyle="1" w:styleId="Obrzek">
    <w:name w:val="Obrázek"/>
    <w:basedOn w:val="Graf0"/>
    <w:link w:val="ObrzekChar"/>
    <w:qFormat/>
    <w:rsid w:val="006C49F0"/>
    <w:pPr>
      <w:numPr>
        <w:numId w:val="5"/>
      </w:numPr>
    </w:pPr>
  </w:style>
  <w:style w:type="character" w:customStyle="1" w:styleId="altNadpis3Char">
    <w:name w:val="altNadpis3 Char"/>
    <w:basedOn w:val="Standardnpsmoodstavce"/>
    <w:link w:val="altNadpis3"/>
    <w:rsid w:val="006974E7"/>
    <w:rPr>
      <w:rFonts w:ascii="Verdana" w:hAnsi="Verdana"/>
      <w:b/>
      <w:sz w:val="19"/>
      <w:szCs w:val="19"/>
      <w:lang w:val="cs-CZ"/>
    </w:rPr>
  </w:style>
  <w:style w:type="numbering" w:customStyle="1" w:styleId="Plohy">
    <w:name w:val="Přílohy"/>
    <w:uiPriority w:val="99"/>
    <w:rsid w:val="00E00BB7"/>
    <w:pPr>
      <w:numPr>
        <w:numId w:val="10"/>
      </w:numPr>
    </w:pPr>
  </w:style>
  <w:style w:type="character" w:customStyle="1" w:styleId="ObrzekChar">
    <w:name w:val="Obrázek Char"/>
    <w:basedOn w:val="GrafChar"/>
    <w:link w:val="Obrzek"/>
    <w:rsid w:val="006C49F0"/>
    <w:rPr>
      <w:rFonts w:ascii="Arial" w:eastAsiaTheme="minorHAnsi" w:hAnsi="Arial"/>
      <w:b/>
      <w:sz w:val="21"/>
      <w:szCs w:val="19"/>
      <w:lang w:val="cs-CZ"/>
    </w:rPr>
  </w:style>
  <w:style w:type="character" w:customStyle="1" w:styleId="KaskdaChar">
    <w:name w:val="Kaskáda ● Char"/>
    <w:basedOn w:val="Standardnpsmoodstavce"/>
    <w:link w:val="Kaskda0"/>
    <w:rsid w:val="00747F68"/>
    <w:rPr>
      <w:rFonts w:ascii="Arial" w:hAnsi="Arial"/>
      <w:sz w:val="21"/>
      <w:szCs w:val="19"/>
      <w:lang w:val="cs-CZ"/>
    </w:rPr>
  </w:style>
  <w:style w:type="character" w:customStyle="1" w:styleId="PlohaChar">
    <w:name w:val="Příloha Char"/>
    <w:basedOn w:val="Standardnpsmoodstavce"/>
    <w:link w:val="Ploha"/>
    <w:rsid w:val="00B43EC9"/>
    <w:rPr>
      <w:rFonts w:ascii="Arial" w:hAnsi="Arial"/>
      <w:b/>
      <w:sz w:val="21"/>
      <w:szCs w:val="19"/>
      <w:lang w:val="cs-CZ"/>
    </w:rPr>
  </w:style>
  <w:style w:type="paragraph" w:customStyle="1" w:styleId="Poznmka">
    <w:name w:val="Poznámka"/>
    <w:basedOn w:val="Normln"/>
    <w:link w:val="PoznmkaChar"/>
    <w:qFormat/>
    <w:rsid w:val="00E65409"/>
    <w:pPr>
      <w:spacing w:before="0" w:after="0"/>
    </w:pPr>
    <w:rPr>
      <w:i/>
      <w:sz w:val="16"/>
      <w:szCs w:val="16"/>
    </w:rPr>
  </w:style>
  <w:style w:type="paragraph" w:customStyle="1" w:styleId="KaskdaA">
    <w:name w:val="Kaskáda A"/>
    <w:basedOn w:val="Kaskda"/>
    <w:link w:val="KaskdaAChar"/>
    <w:qFormat/>
    <w:rsid w:val="004F30E4"/>
    <w:pPr>
      <w:numPr>
        <w:numId w:val="13"/>
      </w:numPr>
    </w:pPr>
  </w:style>
  <w:style w:type="character" w:customStyle="1" w:styleId="PoznmkaChar">
    <w:name w:val="Poznámka Char"/>
    <w:basedOn w:val="Standardnpsmoodstavce"/>
    <w:link w:val="Poznmka"/>
    <w:rsid w:val="00E65409"/>
    <w:rPr>
      <w:rFonts w:ascii="SkolarSansPE-Rg" w:hAnsi="SkolarSansPE-Rg"/>
      <w:i/>
      <w:sz w:val="16"/>
      <w:szCs w:val="16"/>
      <w:lang w:val="cs-CZ"/>
    </w:rPr>
  </w:style>
  <w:style w:type="numbering" w:customStyle="1" w:styleId="KaskdyA">
    <w:name w:val="Kaskády A"/>
    <w:uiPriority w:val="99"/>
    <w:rsid w:val="004F30E4"/>
    <w:pPr>
      <w:numPr>
        <w:numId w:val="12"/>
      </w:numPr>
    </w:pPr>
  </w:style>
  <w:style w:type="character" w:customStyle="1" w:styleId="KaskdaAChar">
    <w:name w:val="Kaskáda A Char"/>
    <w:basedOn w:val="KaskdaChar0"/>
    <w:link w:val="KaskdaA"/>
    <w:rsid w:val="004F30E4"/>
    <w:rPr>
      <w:rFonts w:ascii="Arial" w:hAnsi="Arial"/>
      <w:noProof/>
      <w:sz w:val="21"/>
      <w:szCs w:val="19"/>
      <w:lang w:val="cs-CZ"/>
    </w:rPr>
  </w:style>
  <w:style w:type="paragraph" w:customStyle="1" w:styleId="Zdroj">
    <w:name w:val="Zdroj"/>
    <w:basedOn w:val="Normln"/>
    <w:link w:val="ZdrojChar"/>
    <w:qFormat/>
    <w:rsid w:val="004E434D"/>
    <w:rPr>
      <w:i/>
      <w:sz w:val="16"/>
      <w:szCs w:val="16"/>
    </w:rPr>
  </w:style>
  <w:style w:type="table" w:customStyle="1" w:styleId="AQE">
    <w:name w:val="AQE"/>
    <w:basedOn w:val="Normlntabulka"/>
    <w:uiPriority w:val="99"/>
    <w:rsid w:val="009914E7"/>
    <w:pPr>
      <w:spacing w:after="0" w:line="240" w:lineRule="auto"/>
    </w:pPr>
    <w:rPr>
      <w:rFonts w:ascii="Verdana" w:hAnsi="Verdana"/>
      <w:sz w:val="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rFonts w:ascii="Verdana Pro" w:hAnsi="Verdana Pro"/>
        <w:b/>
        <w:color w:val="FFFFFF" w:themeColor="background1"/>
        <w:sz w:val="19"/>
      </w:rPr>
      <w:tblPr/>
      <w:tcPr>
        <w:shd w:val="clear" w:color="auto" w:fill="2E3192"/>
      </w:tcPr>
    </w:tblStylePr>
  </w:style>
  <w:style w:type="character" w:customStyle="1" w:styleId="ZdrojChar">
    <w:name w:val="Zdroj Char"/>
    <w:basedOn w:val="Standardnpsmoodstavce"/>
    <w:link w:val="Zdroj"/>
    <w:rsid w:val="004E434D"/>
    <w:rPr>
      <w:rFonts w:ascii="Verdana" w:hAnsi="Verdana"/>
      <w:i/>
      <w:sz w:val="16"/>
      <w:szCs w:val="16"/>
      <w:lang w:val="cs-CZ"/>
    </w:rPr>
  </w:style>
  <w:style w:type="paragraph" w:customStyle="1" w:styleId="Poznmka2">
    <w:name w:val="Poznámka 2"/>
    <w:basedOn w:val="Normln"/>
    <w:link w:val="Poznmka2Char"/>
    <w:qFormat/>
    <w:rsid w:val="002850FB"/>
    <w:pPr>
      <w:spacing w:after="0" w:line="360" w:lineRule="auto"/>
    </w:pPr>
    <w:rPr>
      <w:b/>
      <w:sz w:val="20"/>
      <w:szCs w:val="20"/>
    </w:rPr>
  </w:style>
  <w:style w:type="character" w:customStyle="1" w:styleId="Poznmka2Char">
    <w:name w:val="Poznámka 2 Char"/>
    <w:basedOn w:val="Standardnpsmoodstavce"/>
    <w:link w:val="Poznmka2"/>
    <w:rsid w:val="002850FB"/>
    <w:rPr>
      <w:rFonts w:ascii="Verdana" w:hAnsi="Verdana"/>
      <w:b/>
      <w:sz w:val="20"/>
      <w:szCs w:val="20"/>
      <w:lang w:val="cs-CZ"/>
    </w:rPr>
  </w:style>
  <w:style w:type="paragraph" w:styleId="Odstavecseseznamem">
    <w:name w:val="List Paragraph"/>
    <w:basedOn w:val="Normln"/>
    <w:uiPriority w:val="34"/>
    <w:qFormat/>
    <w:rsid w:val="00B01126"/>
    <w:pPr>
      <w:numPr>
        <w:numId w:val="16"/>
      </w:numPr>
      <w:spacing w:after="0" w:line="264" w:lineRule="auto"/>
      <w:contextualSpacing/>
    </w:pPr>
    <w:rPr>
      <w:rFonts w:ascii="Cambria" w:eastAsia="Calibri" w:hAnsi="Cambria" w:cs="Times New Roman"/>
      <w:szCs w:val="24"/>
      <w:lang w:eastAsia="cs-CZ"/>
    </w:rPr>
  </w:style>
  <w:style w:type="paragraph" w:customStyle="1" w:styleId="tabulka0">
    <w:name w:val="tabulka"/>
    <w:basedOn w:val="Normln"/>
    <w:rsid w:val="00B01126"/>
    <w:pPr>
      <w:numPr>
        <w:numId w:val="15"/>
      </w:numPr>
      <w:tabs>
        <w:tab w:val="left" w:pos="1418"/>
      </w:tabs>
      <w:spacing w:before="240" w:after="200" w:line="240" w:lineRule="auto"/>
      <w:ind w:left="357" w:hanging="357"/>
    </w:pPr>
    <w:rPr>
      <w:rFonts w:ascii="Cambria" w:eastAsia="Calibri" w:hAnsi="Cambria" w:cs="Times New Roman"/>
      <w:b/>
      <w:szCs w:val="24"/>
      <w:lang w:eastAsia="cs-CZ"/>
    </w:rPr>
  </w:style>
  <w:style w:type="paragraph" w:customStyle="1" w:styleId="graf">
    <w:name w:val="graf"/>
    <w:basedOn w:val="Normln"/>
    <w:rsid w:val="00B01126"/>
    <w:pPr>
      <w:numPr>
        <w:numId w:val="14"/>
      </w:numPr>
      <w:tabs>
        <w:tab w:val="left" w:pos="1134"/>
      </w:tabs>
      <w:spacing w:before="240" w:after="200" w:line="240" w:lineRule="auto"/>
      <w:ind w:left="0" w:firstLine="0"/>
    </w:pPr>
    <w:rPr>
      <w:rFonts w:ascii="Cambria" w:eastAsiaTheme="minorHAnsi" w:hAnsi="Cambria"/>
      <w:b/>
    </w:rPr>
  </w:style>
  <w:style w:type="character" w:customStyle="1" w:styleId="Bodytext2Bold">
    <w:name w:val="Body text (2) + Bold"/>
    <w:basedOn w:val="Standardnpsmoodstavce"/>
    <w:rsid w:val="00B01126"/>
    <w:rPr>
      <w:b/>
      <w:bCs/>
      <w:sz w:val="13"/>
      <w:szCs w:val="13"/>
      <w:shd w:val="clear" w:color="auto" w:fill="FFFFFF"/>
    </w:rPr>
  </w:style>
  <w:style w:type="paragraph" w:customStyle="1" w:styleId="Text1">
    <w:name w:val="Text1"/>
    <w:basedOn w:val="Normln"/>
    <w:rsid w:val="00B01126"/>
    <w:pPr>
      <w:tabs>
        <w:tab w:val="left" w:pos="993"/>
      </w:tabs>
      <w:spacing w:before="60" w:after="0" w:line="240" w:lineRule="auto"/>
      <w:ind w:left="284" w:firstLine="56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rsid w:val="00B01126"/>
    <w:rPr>
      <w:rFonts w:eastAsiaTheme="minorHAnsi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B01126"/>
    <w:rPr>
      <w:rFonts w:eastAsiaTheme="minorHAnsi"/>
    </w:rPr>
  </w:style>
  <w:style w:type="paragraph" w:customStyle="1" w:styleId="Objekt">
    <w:name w:val="Objekt"/>
    <w:basedOn w:val="Normln"/>
    <w:link w:val="ObjektChar"/>
    <w:qFormat/>
    <w:rsid w:val="00747F68"/>
    <w:pPr>
      <w:spacing w:before="0" w:after="0"/>
      <w:jc w:val="left"/>
    </w:pPr>
  </w:style>
  <w:style w:type="character" w:customStyle="1" w:styleId="ObjektChar">
    <w:name w:val="Objekt Char"/>
    <w:basedOn w:val="Standardnpsmoodstavce"/>
    <w:link w:val="Objekt"/>
    <w:rsid w:val="00747F68"/>
    <w:rPr>
      <w:szCs w:val="19"/>
      <w:lang w:val="cs-CZ"/>
    </w:rPr>
  </w:style>
  <w:style w:type="paragraph" w:customStyle="1" w:styleId="Textovpole">
    <w:name w:val="Textové pole"/>
    <w:basedOn w:val="Normln"/>
    <w:link w:val="TextovpoleChar"/>
    <w:autoRedefine/>
    <w:qFormat/>
    <w:rsid w:val="00036796"/>
    <w:pPr>
      <w:pBdr>
        <w:top w:val="single" w:sz="4" w:space="4" w:color="4F6228" w:themeColor="accent3" w:themeShade="80"/>
        <w:left w:val="single" w:sz="4" w:space="4" w:color="4F6228" w:themeColor="accent3" w:themeShade="80"/>
        <w:bottom w:val="single" w:sz="4" w:space="4" w:color="4F6228" w:themeColor="accent3" w:themeShade="80"/>
        <w:right w:val="single" w:sz="4" w:space="4" w:color="4F6228" w:themeColor="accent3" w:themeShade="80"/>
      </w:pBdr>
      <w:shd w:val="clear" w:color="auto" w:fill="EAF1DD" w:themeFill="accent3" w:themeFillTint="33"/>
      <w:spacing w:after="0"/>
      <w:ind w:left="227" w:right="227"/>
    </w:pPr>
    <w:rPr>
      <w:rFonts w:cstheme="minorHAnsi"/>
      <w:i/>
      <w:sz w:val="20"/>
      <w:szCs w:val="20"/>
    </w:rPr>
  </w:style>
  <w:style w:type="character" w:customStyle="1" w:styleId="TextovpoleChar">
    <w:name w:val="Textové pole Char"/>
    <w:basedOn w:val="Standardnpsmoodstavce"/>
    <w:link w:val="Textovpole"/>
    <w:rsid w:val="00036796"/>
    <w:rPr>
      <w:rFonts w:ascii="Arial" w:hAnsi="Arial" w:cstheme="minorHAnsi"/>
      <w:i/>
      <w:sz w:val="20"/>
      <w:szCs w:val="20"/>
      <w:shd w:val="clear" w:color="auto" w:fill="EAF1DD" w:themeFill="accent3" w:themeFillTint="33"/>
      <w:lang w:val="cs-CZ"/>
    </w:rPr>
  </w:style>
  <w:style w:type="character" w:styleId="Nevyeenzmnka">
    <w:name w:val="Unresolved Mention"/>
    <w:basedOn w:val="Standardnpsmoodstavce"/>
    <w:uiPriority w:val="99"/>
    <w:semiHidden/>
    <w:unhideWhenUsed/>
    <w:rsid w:val="003D24F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D24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9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65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69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15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1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63" Type="http://schemas.openxmlformats.org/officeDocument/2006/relationships/image" Target="media/image54.emf"/><Relationship Id="rId68" Type="http://schemas.openxmlformats.org/officeDocument/2006/relationships/image" Target="media/image58.emf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61" Type="http://schemas.openxmlformats.org/officeDocument/2006/relationships/image" Target="media/image52.emf"/><Relationship Id="rId10" Type="http://schemas.openxmlformats.org/officeDocument/2006/relationships/footer" Target="footer1.xm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59.emf"/><Relationship Id="rId8" Type="http://schemas.openxmlformats.org/officeDocument/2006/relationships/image" Target="media/image1.emf"/><Relationship Id="rId51" Type="http://schemas.openxmlformats.org/officeDocument/2006/relationships/image" Target="media/image42.e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image" Target="media/image57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2E3192"/>
        </a:solidFill>
        <a:ln>
          <a:noFill/>
        </a:ln>
      </a:spPr>
      <a:bodyPr rot="0" vert="horz" wrap="square" lIns="91440" tIns="45720" rIns="91440" bIns="45720" anchor="ctr" anchorCtr="0" upright="1">
        <a:noAutofit/>
      </a:bodyPr>
      <a:lstStyle/>
    </a:spDef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7038E-2BFE-4B2C-8268-4AE0EF6C1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45</Pages>
  <Words>10506</Words>
  <Characters>61987</Characters>
  <Application>Microsoft Office Word</Application>
  <DocSecurity>0</DocSecurity>
  <Lines>516</Lines>
  <Paragraphs>144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AQE advisors, a.s.</Company>
  <LinksUpToDate>false</LinksUpToDate>
  <CharactersWithSpaces>72349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Brychta</dc:creator>
  <cp:keywords/>
  <dc:description/>
  <cp:lastModifiedBy>Klára Vránová</cp:lastModifiedBy>
  <cp:revision>3</cp:revision>
  <cp:lastPrinted>2021-03-04T11:24:00Z</cp:lastPrinted>
  <dcterms:created xsi:type="dcterms:W3CDTF">2025-11-13T11:46:00Z</dcterms:created>
  <dcterms:modified xsi:type="dcterms:W3CDTF">2025-11-13T11:50:00Z</dcterms:modified>
</cp:coreProperties>
</file>